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u w:val="single"/>
          <w:rtl w:val="0"/>
        </w:rPr>
        <w:t xml:space="preserve">OCSC Grievance Procedure </w:t>
      </w:r>
      <w:r w:rsidDel="00000000" w:rsidR="00000000" w:rsidRPr="00000000">
        <w:rPr>
          <w:rtl w:val="0"/>
        </w:rPr>
      </w:r>
    </w:p>
    <w:p w:rsidR="00000000" w:rsidDel="00000000" w:rsidP="00000000" w:rsidRDefault="00000000" w:rsidRPr="00000000" w14:paraId="00000003">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 OCSC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5">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Contact local law enforcement</w:t>
      </w:r>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OCSC Code of Conduct and violations of the Minor Athlete Abuse Prevention Policy.</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issues are handled at the club level following the procedures outlined below.</w:t>
        <w:br w:type="textWrapping"/>
      </w:r>
    </w:p>
    <w:p w:rsidR="00000000" w:rsidDel="00000000" w:rsidP="00000000" w:rsidRDefault="00000000" w:rsidRPr="00000000" w14:paraId="0000000D">
      <w:pPr>
        <w:shd w:fill="ffffff" w:val="clear"/>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0E">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 OCSC Code of Conduct, the parent/swimmer should discuss these concerns with the coach of the swimmer responsible for the violation (Responsible Coach). This complaint should be made in person or in writing.  Coaches will ensure the OCSC Board of Directors is notified of the complaint and will participate in assessing behavior.</w:t>
      </w:r>
    </w:p>
    <w:p w:rsidR="00000000" w:rsidDel="00000000" w:rsidP="00000000" w:rsidRDefault="00000000" w:rsidRPr="00000000" w14:paraId="00000010">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1">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OCSC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Board of Directors is notified of the complaint and will participate in assessing behavior.</w:t>
      </w:r>
      <w:r w:rsidDel="00000000" w:rsidR="00000000" w:rsidRPr="00000000">
        <w:rPr>
          <w:rtl w:val="0"/>
        </w:rPr>
      </w:r>
    </w:p>
    <w:p w:rsidR="00000000" w:rsidDel="00000000" w:rsidP="00000000" w:rsidRDefault="00000000" w:rsidRPr="00000000" w14:paraId="00000013">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4">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OCSC Board President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rsidR="00000000" w:rsidDel="00000000" w:rsidP="00000000" w:rsidRDefault="00000000" w:rsidRPr="00000000" w14:paraId="00000016">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7">
      <w:pPr>
        <w:shd w:fill="ffffff" w:val="clear"/>
        <w:rPr>
          <w:rFonts w:ascii="Arial" w:cs="Arial" w:eastAsia="Arial" w:hAnsi="Arial"/>
        </w:rPr>
      </w:pPr>
      <w:r w:rsidDel="00000000" w:rsidR="00000000" w:rsidRPr="00000000">
        <w:rPr>
          <w:rFonts w:ascii="Arial" w:cs="Arial" w:eastAsia="Arial" w:hAnsi="Arial"/>
          <w:i w:val="1"/>
          <w:highlight w:val="white"/>
          <w:rtl w:val="0"/>
        </w:rPr>
        <w:t xml:space="preserve">Regarding Board of Director Member Conduct</w:t>
      </w:r>
      <w:r w:rsidDel="00000000" w:rsidR="00000000" w:rsidRPr="00000000">
        <w:rPr>
          <w:rFonts w:ascii="Arial" w:cs="Arial" w:eastAsia="Arial" w:hAnsi="Arial"/>
          <w:highlight w:val="white"/>
          <w:rtl w:val="0"/>
        </w:rPr>
        <w:t xml:space="preserve"> - Notify the OCSC Board President</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instead of</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Board President. This complaint will be reviewed and discussed by the full Board of Directors.</w:t>
      </w:r>
    </w:p>
    <w:p w:rsidR="00000000" w:rsidDel="00000000" w:rsidP="00000000" w:rsidRDefault="00000000" w:rsidRPr="00000000" w14:paraId="00000019">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A">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Swim Official Conduct </w:t>
      </w:r>
      <w:r w:rsidDel="00000000" w:rsidR="00000000" w:rsidRPr="00000000">
        <w:rPr>
          <w:rFonts w:ascii="Arial" w:cs="Arial" w:eastAsia="Arial" w:hAnsi="Arial"/>
          <w:highlight w:val="white"/>
          <w:rtl w:val="0"/>
        </w:rPr>
        <w:t xml:space="preserve">- Notify the Head Coach and Board President</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OCSC 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u w:val="single"/>
        </w:rPr>
      </w:pP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i w:val="1"/>
          <w:highlight w:val="white"/>
          <w:rtl w:val="0"/>
        </w:rPr>
        <w:t xml:space="preserve">The Board of Directors have the authority to impose penalties for infractions of the OCSC Athlete, Parent and Coach Codes of Conduct or any behavior(s) they deem not conducive to the best interests of the Club or other swimmers. Consequences are at the sole discretion of the coaches and/or OCSC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OCSC grievance procedure form.  </w:t>
      </w:r>
    </w:p>
    <w:p w:rsidR="00000000" w:rsidDel="00000000" w:rsidP="00000000" w:rsidRDefault="00000000" w:rsidRPr="00000000" w14:paraId="00000023">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4">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5">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6">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7">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8">
      <w:pPr>
        <w:widowControl w:val="1"/>
        <w:numPr>
          <w:ilvl w:val="1"/>
          <w:numId w:val="2"/>
        </w:numPr>
        <w:shd w:fill="ffffff" w:val="clear"/>
        <w:ind w:left="1440" w:hanging="360"/>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9">
      <w:pPr>
        <w:widowControl w:val="1"/>
        <w:numPr>
          <w:ilvl w:val="1"/>
          <w:numId w:val="2"/>
        </w:numPr>
        <w:shd w:fill="ffffff" w:val="clear"/>
        <w:spacing w:after="160" w:lineRule="auto"/>
        <w:ind w:left="1440" w:hanging="36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Application of the Code of Conduct</w:t>
      </w:r>
    </w:p>
    <w:sectPr>
      <w:headerReference r:id="rId10" w:type="default"/>
      <w:footerReference r:id="rId11"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
      <w:lvlJc w:val="left"/>
      <w:pPr>
        <w:ind w:left="0" w:firstLine="0"/>
      </w:pPr>
      <w:rPr/>
    </w:lvl>
    <w:lvl w:ilvl="1">
      <w:start w:val="1"/>
      <w:numFmt w:val="lowerLetter"/>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34"/>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character" w:styleId="Hyperlink">
    <w:name w:val="Hyperlink"/>
    <w:basedOn w:val="DefaultParagraphFont"/>
    <w:uiPriority w:val="99"/>
    <w:unhideWhenUsed w:val="1"/>
    <w:rsid w:val="001D6276"/>
    <w:rPr>
      <w:color w:val="0000ff" w:themeColor="hyperlink"/>
      <w:u w:val="single"/>
    </w:rPr>
  </w:style>
  <w:style w:type="character" w:styleId="CommentReference">
    <w:name w:val="annotation reference"/>
    <w:basedOn w:val="DefaultParagraphFont"/>
    <w:uiPriority w:val="99"/>
    <w:semiHidden w:val="1"/>
    <w:unhideWhenUsed w:val="1"/>
    <w:rsid w:val="00CA3946"/>
    <w:rPr>
      <w:sz w:val="16"/>
      <w:szCs w:val="16"/>
    </w:rPr>
  </w:style>
  <w:style w:type="paragraph" w:styleId="CommentText">
    <w:name w:val="annotation text"/>
    <w:basedOn w:val="Normal"/>
    <w:link w:val="CommentTextChar"/>
    <w:uiPriority w:val="99"/>
    <w:semiHidden w:val="1"/>
    <w:unhideWhenUsed w:val="1"/>
    <w:rsid w:val="00CA3946"/>
    <w:rPr>
      <w:sz w:val="20"/>
      <w:szCs w:val="20"/>
    </w:rPr>
  </w:style>
  <w:style w:type="character" w:styleId="CommentTextChar" w:customStyle="1">
    <w:name w:val="Comment Text Char"/>
    <w:basedOn w:val="DefaultParagraphFont"/>
    <w:link w:val="CommentText"/>
    <w:uiPriority w:val="99"/>
    <w:semiHidden w:val="1"/>
    <w:rsid w:val="00CA3946"/>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CA3946"/>
    <w:rPr>
      <w:b w:val="1"/>
      <w:bCs w:val="1"/>
    </w:rPr>
  </w:style>
  <w:style w:type="character" w:styleId="CommentSubjectChar" w:customStyle="1">
    <w:name w:val="Comment Subject Char"/>
    <w:basedOn w:val="CommentTextChar"/>
    <w:link w:val="CommentSubject"/>
    <w:uiPriority w:val="99"/>
    <w:semiHidden w:val="1"/>
    <w:rsid w:val="00CA3946"/>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CA39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A3946"/>
    <w:rPr>
      <w:rFonts w:ascii="Segoe UI" w:cs="Segoe UI" w:eastAsia="Calibri" w:hAnsi="Segoe UI"/>
      <w:sz w:val="18"/>
      <w:szCs w:val="18"/>
    </w:rPr>
  </w:style>
  <w:style w:type="character" w:styleId="UnresolvedMention" w:customStyle="1">
    <w:name w:val="Unresolved Mention"/>
    <w:basedOn w:val="DefaultParagraphFont"/>
    <w:uiPriority w:val="99"/>
    <w:semiHidden w:val="1"/>
    <w:unhideWhenUsed w:val="1"/>
    <w:rsid w:val="001621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s22.formsite.com/usaswimming/form10/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fesport.i-sight.com/portal" TargetMode="External"/><Relationship Id="rId8" Type="http://schemas.openxmlformats.org/officeDocument/2006/relationships/hyperlink" Target="mailto:safesport@usaswimm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mu7EGwV9IzX6GrQplRxF1hX6mg==">AMUW2mUf5BBo3x3LtGFtjsyQroXWWUr0xHDIQjULbTUBFNPzipCQPNo/oz70Pl7AJ2Sh+Q23hfKG5Bkf0RYZiJhzjGQWmlgXxpxsR0mXnrtUeoyHhkKWvpTEg27+S/MaXJMatQ+dTsTt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2022-04-08T20:30:00Z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