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AADDF" w14:textId="77777777" w:rsidR="00C50FFB" w:rsidRDefault="007725B4">
      <w:r>
        <w:rPr>
          <w:noProof/>
        </w:rPr>
        <w:drawing>
          <wp:inline distT="0" distB="0" distL="0" distR="0" wp14:anchorId="62F35896" wp14:editId="2C9A60A3">
            <wp:extent cx="830691" cy="83499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30691" cy="834995"/>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397A2781" wp14:editId="1E4A54FC">
                <wp:simplePos x="0" y="0"/>
                <wp:positionH relativeFrom="column">
                  <wp:posOffset>985838</wp:posOffset>
                </wp:positionH>
                <wp:positionV relativeFrom="paragraph">
                  <wp:posOffset>2860</wp:posOffset>
                </wp:positionV>
                <wp:extent cx="4333875" cy="84772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3188588" y="3363758"/>
                          <a:ext cx="4314825" cy="83248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1349DF58" w14:textId="77777777" w:rsidR="00C50FFB" w:rsidRDefault="007725B4">
                            <w:pPr>
                              <w:spacing w:after="0" w:line="240" w:lineRule="auto"/>
                              <w:jc w:val="center"/>
                              <w:textDirection w:val="btLr"/>
                            </w:pPr>
                            <w:r>
                              <w:rPr>
                                <w:rFonts w:ascii="Arial" w:eastAsia="Arial" w:hAnsi="Arial" w:cs="Arial"/>
                                <w:b/>
                                <w:color w:val="000000"/>
                                <w:sz w:val="32"/>
                              </w:rPr>
                              <w:t>Chinook Aquatic Club</w:t>
                            </w:r>
                          </w:p>
                          <w:p w14:paraId="1409F668" w14:textId="77777777" w:rsidR="00C50FFB" w:rsidRDefault="007725B4">
                            <w:pPr>
                              <w:spacing w:after="0" w:line="240" w:lineRule="auto"/>
                              <w:jc w:val="center"/>
                              <w:textDirection w:val="btLr"/>
                            </w:pPr>
                            <w:r>
                              <w:rPr>
                                <w:rFonts w:ascii="Arial" w:eastAsia="Arial" w:hAnsi="Arial" w:cs="Arial"/>
                                <w:b/>
                                <w:color w:val="000000"/>
                                <w:sz w:val="32"/>
                              </w:rPr>
                              <w:t>Financial Obligations and Policies</w:t>
                            </w:r>
                          </w:p>
                          <w:p w14:paraId="5D3EB98A" w14:textId="77777777" w:rsidR="00C50FFB" w:rsidRDefault="007725B4">
                            <w:pPr>
                              <w:spacing w:after="0" w:line="240" w:lineRule="auto"/>
                              <w:jc w:val="center"/>
                              <w:textDirection w:val="btLr"/>
                            </w:pPr>
                            <w:r>
                              <w:rPr>
                                <w:rFonts w:ascii="Arial" w:eastAsia="Arial" w:hAnsi="Arial" w:cs="Arial"/>
                                <w:b/>
                                <w:color w:val="000000"/>
                                <w:sz w:val="32"/>
                              </w:rPr>
                              <w:t>2026-2027</w:t>
                            </w:r>
                          </w:p>
                        </w:txbxContent>
                      </wps:txbx>
                      <wps:bodyPr spcFirstLastPara="1" wrap="square" lIns="91425" tIns="45700" rIns="91425" bIns="45700" anchor="t" anchorCtr="0">
                        <a:noAutofit/>
                      </wps:bodyPr>
                    </wps:wsp>
                  </a:graphicData>
                </a:graphic>
              </wp:anchor>
            </w:drawing>
          </mc:Choice>
          <mc:Fallback>
            <w:pict>
              <v:rect w14:anchorId="397A2781" id="Rectangle 1" o:spid="_x0000_s1026" style="position:absolute;margin-left:77.65pt;margin-top:.25pt;width:341.25pt;height:66.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KFHgIAAEkEAAAOAAAAZHJzL2Uyb0RvYy54bWysVNuO0zAQfUfiHyy/0zRts5utmq7QliKk&#10;Fay08AFTx24s+YbtNunfM3bKtgtISIg8OON4fObMzJms7getyJH7IK1paDmZUsINs600+4Z++7p9&#10;V1MSIpgWlDW8oSce6P367ZtV75Z8ZjurWu4Jgpiw7F1DuxjdsigC67iGMLGOGzwU1muIuPX7ovXQ&#10;I7pWxWw6vSl661vnLeMh4NfNeEjXGV8IzuIXIQKPRDUUucW8+rzu0lqsV7Dce3CdZGca8A8sNEiD&#10;QV+gNhCBHLz8DUpL5m2wIk6Y1YUVQjKec8Bsyukv2Tx34HjOBYsT3EuZwv+DZZ+Pz+7JYxl6F5YB&#10;zZTFILxOb+RHhobOy7quauzkCe35zfy2qsfC8SEShg6LebmoZxUlDD3q+WxRV8mhuCA5H+JHbjVJ&#10;RkM9NibXC46PIY6uP11S4GCVbLdSqbzx+92D8uQI2MRtfs7or9yUIX1D76rMA1BLQkFEStq1DQ1m&#10;n+O9uhGugaf5+RNwIraB0I0EMsKYvpYRxaukxqTx9vix49B+MC2JJ4d6N6h6mngFTYniOCNoZNFF&#10;kOrvflhCZbCSl+4kKw674dyynW1PT54Ex7YSeT5CiE/gUcMlhkVdY8DvB/BIQn0yKJy7cpEKFPNm&#10;Ud0ibeKvT3bXJ2BYZ3FcsI6j+RDz8KS2GPv+EK2QuX2J1UjlTBb1mgVwnq00ENf77HX5A6x/AAAA&#10;//8DAFBLAwQUAAYACAAAACEAPuVVAN8AAAAIAQAADwAAAGRycy9kb3ducmV2LnhtbEyPwU7DMBBE&#10;70j8g7VIXFDrQAi0IU4VKnHgUAlaDnDbxiaJiNeR7TTh71lOcJyd0eybYjPbXpyMD50jBdfLBISh&#10;2umOGgVvh6fFCkSISBp7R0bBtwmwKc/PCsy1m+jVnPaxEVxCIUcFbYxDLmWoW2MxLN1giL1P5y1G&#10;lr6R2uPE5baXN0lyJy12xB9aHMy2NfXXfrQK/C48b99tN64/hscK1+N09dJVSl1ezNUDiGjm+BeG&#10;X3xGh5KZjm4kHUTPOstSjirIQLC9Su95yZHv6W0Csizk/wHlDwAAAP//AwBQSwECLQAUAAYACAAA&#10;ACEAtoM4kv4AAADhAQAAEwAAAAAAAAAAAAAAAAAAAAAAW0NvbnRlbnRfVHlwZXNdLnhtbFBLAQIt&#10;ABQABgAIAAAAIQA4/SH/1gAAAJQBAAALAAAAAAAAAAAAAAAAAC8BAABfcmVscy8ucmVsc1BLAQIt&#10;ABQABgAIAAAAIQDCcUKFHgIAAEkEAAAOAAAAAAAAAAAAAAAAAC4CAABkcnMvZTJvRG9jLnhtbFBL&#10;AQItABQABgAIAAAAIQA+5VUA3wAAAAgBAAAPAAAAAAAAAAAAAAAAAHgEAABkcnMvZG93bnJldi54&#10;bWxQSwUGAAAAAAQABADzAAAAhAUAAAAA&#10;">
                <v:stroke startarrowwidth="narrow" startarrowlength="short" endarrowwidth="narrow" endarrowlength="short" miterlimit="5243f"/>
                <v:textbox inset="2.53958mm,1.2694mm,2.53958mm,1.2694mm">
                  <w:txbxContent>
                    <w:p w14:paraId="1349DF58" w14:textId="77777777" w:rsidR="00C50FFB" w:rsidRDefault="007725B4">
                      <w:pPr>
                        <w:spacing w:after="0" w:line="240" w:lineRule="auto"/>
                        <w:jc w:val="center"/>
                        <w:textDirection w:val="btLr"/>
                      </w:pPr>
                      <w:r>
                        <w:rPr>
                          <w:rFonts w:ascii="Arial" w:eastAsia="Arial" w:hAnsi="Arial" w:cs="Arial"/>
                          <w:b/>
                          <w:color w:val="000000"/>
                          <w:sz w:val="32"/>
                        </w:rPr>
                        <w:t>Chinook Aquatic Club</w:t>
                      </w:r>
                    </w:p>
                    <w:p w14:paraId="1409F668" w14:textId="77777777" w:rsidR="00C50FFB" w:rsidRDefault="007725B4">
                      <w:pPr>
                        <w:spacing w:after="0" w:line="240" w:lineRule="auto"/>
                        <w:jc w:val="center"/>
                        <w:textDirection w:val="btLr"/>
                      </w:pPr>
                      <w:r>
                        <w:rPr>
                          <w:rFonts w:ascii="Arial" w:eastAsia="Arial" w:hAnsi="Arial" w:cs="Arial"/>
                          <w:b/>
                          <w:color w:val="000000"/>
                          <w:sz w:val="32"/>
                        </w:rPr>
                        <w:t>Financial Obligations and Policies</w:t>
                      </w:r>
                    </w:p>
                    <w:p w14:paraId="5D3EB98A" w14:textId="77777777" w:rsidR="00C50FFB" w:rsidRDefault="007725B4">
                      <w:pPr>
                        <w:spacing w:after="0" w:line="240" w:lineRule="auto"/>
                        <w:jc w:val="center"/>
                        <w:textDirection w:val="btLr"/>
                      </w:pPr>
                      <w:r>
                        <w:rPr>
                          <w:rFonts w:ascii="Arial" w:eastAsia="Arial" w:hAnsi="Arial" w:cs="Arial"/>
                          <w:b/>
                          <w:color w:val="000000"/>
                          <w:sz w:val="32"/>
                        </w:rPr>
                        <w:t>2026-2027</w:t>
                      </w:r>
                    </w:p>
                  </w:txbxContent>
                </v:textbox>
                <w10:wrap type="square"/>
              </v:rect>
            </w:pict>
          </mc:Fallback>
        </mc:AlternateContent>
      </w:r>
    </w:p>
    <w:p w14:paraId="5D1CF7DC" w14:textId="77777777" w:rsidR="00C50FFB" w:rsidRDefault="00C50FFB"/>
    <w:p w14:paraId="3B5DA770" w14:textId="77777777" w:rsidR="00C50FFB" w:rsidRDefault="007725B4">
      <w:pPr>
        <w:widowControl w:val="0"/>
        <w:spacing w:after="0" w:line="240" w:lineRule="auto"/>
        <w:ind w:left="100"/>
        <w:rPr>
          <w:sz w:val="26"/>
          <w:szCs w:val="26"/>
        </w:rPr>
      </w:pPr>
      <w:r>
        <w:rPr>
          <w:sz w:val="26"/>
          <w:szCs w:val="26"/>
        </w:rPr>
        <w:t>FEE SCHEDULE:</w:t>
      </w:r>
    </w:p>
    <w:p w14:paraId="12ED387A" w14:textId="77777777" w:rsidR="00C50FFB" w:rsidRDefault="00C50FFB">
      <w:pPr>
        <w:widowControl w:val="0"/>
        <w:spacing w:after="0" w:line="240" w:lineRule="auto"/>
        <w:ind w:left="100"/>
        <w:rPr>
          <w:sz w:val="24"/>
          <w:szCs w:val="24"/>
        </w:rPr>
      </w:pPr>
    </w:p>
    <w:p w14:paraId="319C4A0E" w14:textId="77777777" w:rsidR="00C50FFB" w:rsidRDefault="007725B4">
      <w:pPr>
        <w:widowControl w:val="0"/>
        <w:spacing w:after="0" w:line="240" w:lineRule="auto"/>
        <w:ind w:left="100"/>
        <w:rPr>
          <w:sz w:val="24"/>
          <w:szCs w:val="24"/>
        </w:rPr>
      </w:pPr>
      <w:r>
        <w:rPr>
          <w:sz w:val="24"/>
          <w:szCs w:val="24"/>
        </w:rPr>
        <w:t>Annual training fees are listed below – additional fees to expect:</w:t>
      </w:r>
    </w:p>
    <w:p w14:paraId="53D1DB98" w14:textId="77777777" w:rsidR="00C50FFB" w:rsidRDefault="00C50FFB">
      <w:pPr>
        <w:widowControl w:val="0"/>
        <w:spacing w:after="0" w:line="240" w:lineRule="auto"/>
        <w:ind w:left="100"/>
        <w:rPr>
          <w:sz w:val="24"/>
          <w:szCs w:val="24"/>
        </w:rPr>
      </w:pPr>
    </w:p>
    <w:p w14:paraId="34E22E43" w14:textId="4C5DD678" w:rsidR="00C50FFB" w:rsidRDefault="007725B4">
      <w:pPr>
        <w:widowControl w:val="0"/>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Registration Fee </w:t>
      </w:r>
      <w:r w:rsidR="00F36805">
        <w:rPr>
          <w:color w:val="000000"/>
          <w:sz w:val="24"/>
          <w:szCs w:val="24"/>
        </w:rPr>
        <w:t>(non-refundable)</w:t>
      </w:r>
      <w:r>
        <w:rPr>
          <w:color w:val="000000"/>
          <w:sz w:val="24"/>
          <w:szCs w:val="24"/>
        </w:rPr>
        <w:t>- $</w:t>
      </w:r>
      <w:r>
        <w:rPr>
          <w:sz w:val="24"/>
          <w:szCs w:val="24"/>
        </w:rPr>
        <w:t>20</w:t>
      </w:r>
      <w:r>
        <w:rPr>
          <w:color w:val="000000"/>
          <w:sz w:val="24"/>
          <w:szCs w:val="24"/>
        </w:rPr>
        <w:t>0/family</w:t>
      </w:r>
    </w:p>
    <w:p w14:paraId="64158439" w14:textId="77777777" w:rsidR="00C50FFB" w:rsidRDefault="007725B4">
      <w:pPr>
        <w:widowControl w:val="0"/>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Swim-a-thon Fee (refundable) - $200/family</w:t>
      </w:r>
    </w:p>
    <w:p w14:paraId="287E6E47" w14:textId="77777777" w:rsidR="00C50FFB" w:rsidRDefault="007725B4">
      <w:pPr>
        <w:widowControl w:val="0"/>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USA Membership – required within 30 days of joining:</w:t>
      </w:r>
    </w:p>
    <w:p w14:paraId="15595F08" w14:textId="77777777" w:rsidR="00C50FFB" w:rsidRDefault="007725B4">
      <w:pPr>
        <w:widowControl w:val="0"/>
        <w:numPr>
          <w:ilvl w:val="1"/>
          <w:numId w:val="1"/>
        </w:numPr>
        <w:pBdr>
          <w:top w:val="nil"/>
          <w:left w:val="nil"/>
          <w:bottom w:val="nil"/>
          <w:right w:val="nil"/>
          <w:between w:val="nil"/>
        </w:pBdr>
        <w:spacing w:after="0" w:line="240" w:lineRule="auto"/>
        <w:rPr>
          <w:color w:val="000000"/>
          <w:sz w:val="24"/>
          <w:szCs w:val="24"/>
        </w:rPr>
      </w:pPr>
      <w:r>
        <w:rPr>
          <w:sz w:val="24"/>
          <w:szCs w:val="24"/>
        </w:rPr>
        <w:t>N</w:t>
      </w:r>
      <w:r>
        <w:rPr>
          <w:color w:val="000000"/>
          <w:sz w:val="24"/>
          <w:szCs w:val="24"/>
        </w:rPr>
        <w:t xml:space="preserve">ew </w:t>
      </w:r>
      <w:r>
        <w:rPr>
          <w:sz w:val="24"/>
          <w:szCs w:val="24"/>
        </w:rPr>
        <w:t>S</w:t>
      </w:r>
      <w:r>
        <w:rPr>
          <w:color w:val="000000"/>
          <w:sz w:val="24"/>
          <w:szCs w:val="24"/>
        </w:rPr>
        <w:t xml:space="preserve">wimmers will register with USA Swimming and </w:t>
      </w:r>
      <w:r>
        <w:rPr>
          <w:b/>
          <w:bCs/>
          <w:color w:val="000000"/>
          <w:sz w:val="24"/>
          <w:szCs w:val="24"/>
        </w:rPr>
        <w:t>pay the fee (no reimbursem</w:t>
      </w:r>
      <w:r>
        <w:rPr>
          <w:b/>
          <w:bCs/>
          <w:sz w:val="24"/>
          <w:szCs w:val="24"/>
        </w:rPr>
        <w:t>ent)</w:t>
      </w:r>
    </w:p>
    <w:p w14:paraId="209F6317" w14:textId="77777777" w:rsidR="00C50FFB" w:rsidRDefault="007725B4">
      <w:pPr>
        <w:widowControl w:val="0"/>
        <w:numPr>
          <w:ilvl w:val="1"/>
          <w:numId w:val="1"/>
        </w:numPr>
        <w:pBdr>
          <w:top w:val="nil"/>
          <w:left w:val="nil"/>
          <w:bottom w:val="nil"/>
          <w:right w:val="nil"/>
          <w:between w:val="nil"/>
        </w:pBdr>
        <w:spacing w:after="0" w:line="240" w:lineRule="auto"/>
        <w:rPr>
          <w:color w:val="000000"/>
          <w:sz w:val="24"/>
          <w:szCs w:val="24"/>
        </w:rPr>
      </w:pPr>
      <w:r>
        <w:rPr>
          <w:sz w:val="24"/>
          <w:szCs w:val="24"/>
        </w:rPr>
        <w:t>R</w:t>
      </w:r>
      <w:r>
        <w:rPr>
          <w:color w:val="000000"/>
          <w:sz w:val="24"/>
          <w:szCs w:val="24"/>
        </w:rPr>
        <w:t xml:space="preserve">eturning </w:t>
      </w:r>
      <w:r>
        <w:rPr>
          <w:sz w:val="24"/>
          <w:szCs w:val="24"/>
        </w:rPr>
        <w:t>S</w:t>
      </w:r>
      <w:r>
        <w:rPr>
          <w:color w:val="000000"/>
          <w:sz w:val="24"/>
          <w:szCs w:val="24"/>
        </w:rPr>
        <w:t>wimmers will be renewed/paid by the club</w:t>
      </w:r>
    </w:p>
    <w:tbl>
      <w:tblPr>
        <w:tblStyle w:val="a"/>
        <w:tblpPr w:leftFromText="180" w:rightFromText="180" w:vertAnchor="text" w:tblpX="181" w:tblpY="297"/>
        <w:tblW w:w="8997" w:type="dxa"/>
        <w:tblInd w:w="0" w:type="dxa"/>
        <w:tblLayout w:type="fixed"/>
        <w:tblLook w:val="0000" w:firstRow="0" w:lastRow="0" w:firstColumn="0" w:lastColumn="0" w:noHBand="0" w:noVBand="0"/>
      </w:tblPr>
      <w:tblGrid>
        <w:gridCol w:w="2521"/>
        <w:gridCol w:w="3866"/>
        <w:gridCol w:w="2610"/>
      </w:tblGrid>
      <w:tr w:rsidR="00C50FFB" w14:paraId="625A897B" w14:textId="77777777">
        <w:trPr>
          <w:trHeight w:val="815"/>
        </w:trPr>
        <w:tc>
          <w:tcPr>
            <w:tcW w:w="2521" w:type="dxa"/>
            <w:tcBorders>
              <w:top w:val="single" w:sz="4" w:space="0" w:color="BEBEBE"/>
              <w:left w:val="single" w:sz="4" w:space="0" w:color="E2E3E3"/>
              <w:bottom w:val="single" w:sz="6" w:space="0" w:color="7E7E7E"/>
              <w:right w:val="single" w:sz="4" w:space="0" w:color="7E7E7E"/>
            </w:tcBorders>
            <w:shd w:val="clear" w:color="auto" w:fill="BDC0BE"/>
          </w:tcPr>
          <w:p w14:paraId="1DA93124" w14:textId="77777777" w:rsidR="00C50FFB" w:rsidRDefault="007725B4">
            <w:pPr>
              <w:widowControl w:val="0"/>
              <w:spacing w:before="74" w:after="0" w:line="240" w:lineRule="auto"/>
              <w:ind w:left="535"/>
              <w:jc w:val="center"/>
              <w:rPr>
                <w:sz w:val="28"/>
                <w:szCs w:val="28"/>
              </w:rPr>
            </w:pPr>
            <w:r>
              <w:rPr>
                <w:b/>
                <w:bCs/>
                <w:sz w:val="28"/>
                <w:szCs w:val="28"/>
              </w:rPr>
              <w:t>Group</w:t>
            </w:r>
          </w:p>
        </w:tc>
        <w:tc>
          <w:tcPr>
            <w:tcW w:w="6476" w:type="dxa"/>
            <w:gridSpan w:val="2"/>
            <w:tcBorders>
              <w:top w:val="single" w:sz="4" w:space="0" w:color="BEBEBE"/>
              <w:left w:val="single" w:sz="4" w:space="0" w:color="7E7E7E"/>
              <w:bottom w:val="single" w:sz="6" w:space="0" w:color="7E7E7E"/>
              <w:right w:val="single" w:sz="4" w:space="0" w:color="BEBEBE"/>
            </w:tcBorders>
            <w:shd w:val="clear" w:color="auto" w:fill="BDC0BE"/>
          </w:tcPr>
          <w:p w14:paraId="7ECEE600" w14:textId="3347C8E1" w:rsidR="00C50FFB" w:rsidRDefault="007725B4">
            <w:pPr>
              <w:widowControl w:val="0"/>
              <w:spacing w:before="74" w:after="0" w:line="240" w:lineRule="auto"/>
              <w:ind w:left="573"/>
              <w:jc w:val="center"/>
              <w:rPr>
                <w:sz w:val="28"/>
                <w:szCs w:val="28"/>
              </w:rPr>
            </w:pPr>
            <w:r>
              <w:rPr>
                <w:b/>
                <w:bCs/>
                <w:sz w:val="28"/>
                <w:szCs w:val="28"/>
              </w:rPr>
              <w:t>Training Fees Paid October through April</w:t>
            </w:r>
            <w:r w:rsidR="00F36805">
              <w:rPr>
                <w:b/>
                <w:bCs/>
                <w:sz w:val="28"/>
                <w:szCs w:val="28"/>
              </w:rPr>
              <w:t xml:space="preserve"> (non-refundable)</w:t>
            </w:r>
          </w:p>
        </w:tc>
      </w:tr>
      <w:tr w:rsidR="00C50FFB" w14:paraId="7A6452E7" w14:textId="77777777">
        <w:trPr>
          <w:trHeight w:val="432"/>
        </w:trPr>
        <w:tc>
          <w:tcPr>
            <w:tcW w:w="2521" w:type="dxa"/>
            <w:tcBorders>
              <w:top w:val="single" w:sz="6" w:space="0" w:color="7E7E7E"/>
              <w:left w:val="single" w:sz="4" w:space="0" w:color="E2E3E3"/>
              <w:bottom w:val="single" w:sz="4" w:space="0" w:color="BEBEBE"/>
              <w:right w:val="single" w:sz="4" w:space="0" w:color="7E7E7E"/>
            </w:tcBorders>
            <w:shd w:val="clear" w:color="auto" w:fill="E2E3E3"/>
          </w:tcPr>
          <w:p w14:paraId="46591AB6" w14:textId="77777777" w:rsidR="00C50FFB" w:rsidRDefault="00C50FFB">
            <w:pPr>
              <w:widowControl w:val="0"/>
              <w:spacing w:before="83" w:after="0" w:line="240" w:lineRule="auto"/>
              <w:ind w:right="31"/>
              <w:jc w:val="center"/>
              <w:rPr>
                <w:b/>
                <w:bCs/>
                <w:sz w:val="24"/>
                <w:szCs w:val="24"/>
              </w:rPr>
            </w:pPr>
          </w:p>
        </w:tc>
        <w:tc>
          <w:tcPr>
            <w:tcW w:w="3866" w:type="dxa"/>
            <w:tcBorders>
              <w:top w:val="single" w:sz="6" w:space="0" w:color="7E7E7E"/>
              <w:left w:val="single" w:sz="4" w:space="0" w:color="7E7E7E"/>
              <w:bottom w:val="single" w:sz="4" w:space="0" w:color="BEBEBE"/>
              <w:right w:val="single" w:sz="4" w:space="0" w:color="7E7E7E"/>
            </w:tcBorders>
          </w:tcPr>
          <w:p w14:paraId="63628897" w14:textId="77777777" w:rsidR="00C50FFB" w:rsidRDefault="007725B4">
            <w:pPr>
              <w:widowControl w:val="0"/>
              <w:spacing w:before="91" w:after="0" w:line="240" w:lineRule="auto"/>
              <w:jc w:val="center"/>
              <w:rPr>
                <w:b/>
                <w:bCs/>
                <w:sz w:val="24"/>
                <w:szCs w:val="24"/>
              </w:rPr>
            </w:pPr>
            <w:r>
              <w:rPr>
                <w:b/>
                <w:bCs/>
                <w:sz w:val="24"/>
                <w:szCs w:val="24"/>
              </w:rPr>
              <w:t>Annual</w:t>
            </w:r>
          </w:p>
        </w:tc>
        <w:tc>
          <w:tcPr>
            <w:tcW w:w="2610" w:type="dxa"/>
            <w:tcBorders>
              <w:top w:val="single" w:sz="6" w:space="0" w:color="7E7E7E"/>
              <w:left w:val="single" w:sz="4" w:space="0" w:color="7E7E7E"/>
              <w:bottom w:val="single" w:sz="4" w:space="0" w:color="BEBEBE"/>
              <w:right w:val="single" w:sz="4" w:space="0" w:color="BEBEBE"/>
            </w:tcBorders>
          </w:tcPr>
          <w:p w14:paraId="561EE5D7" w14:textId="77777777" w:rsidR="00C50FFB" w:rsidRDefault="007725B4">
            <w:pPr>
              <w:widowControl w:val="0"/>
              <w:spacing w:before="91" w:after="0" w:line="240" w:lineRule="auto"/>
              <w:jc w:val="center"/>
              <w:rPr>
                <w:b/>
                <w:bCs/>
                <w:sz w:val="24"/>
                <w:szCs w:val="24"/>
              </w:rPr>
            </w:pPr>
            <w:r>
              <w:rPr>
                <w:b/>
                <w:bCs/>
                <w:sz w:val="24"/>
                <w:szCs w:val="24"/>
              </w:rPr>
              <w:t>Monthly (Oct-April)</w:t>
            </w:r>
          </w:p>
        </w:tc>
      </w:tr>
      <w:tr w:rsidR="00C50FFB" w14:paraId="5C7ACFA0" w14:textId="77777777">
        <w:trPr>
          <w:trHeight w:val="432"/>
        </w:trPr>
        <w:tc>
          <w:tcPr>
            <w:tcW w:w="2521" w:type="dxa"/>
            <w:tcBorders>
              <w:top w:val="single" w:sz="6" w:space="0" w:color="7E7E7E"/>
              <w:left w:val="single" w:sz="4" w:space="0" w:color="E2E3E3"/>
              <w:bottom w:val="single" w:sz="4" w:space="0" w:color="BEBEBE"/>
              <w:right w:val="single" w:sz="4" w:space="0" w:color="7E7E7E"/>
            </w:tcBorders>
            <w:shd w:val="clear" w:color="auto" w:fill="E2E3E3"/>
          </w:tcPr>
          <w:p w14:paraId="75CD5409" w14:textId="77777777" w:rsidR="00C50FFB" w:rsidRDefault="007725B4">
            <w:pPr>
              <w:widowControl w:val="0"/>
              <w:spacing w:before="83" w:after="0" w:line="240" w:lineRule="auto"/>
              <w:ind w:right="31"/>
              <w:jc w:val="center"/>
              <w:rPr>
                <w:sz w:val="24"/>
                <w:szCs w:val="24"/>
              </w:rPr>
            </w:pPr>
            <w:r>
              <w:rPr>
                <w:b/>
                <w:bCs/>
                <w:sz w:val="24"/>
                <w:szCs w:val="24"/>
              </w:rPr>
              <w:t>Senior</w:t>
            </w:r>
          </w:p>
        </w:tc>
        <w:tc>
          <w:tcPr>
            <w:tcW w:w="3866" w:type="dxa"/>
            <w:tcBorders>
              <w:top w:val="single" w:sz="6" w:space="0" w:color="7E7E7E"/>
              <w:left w:val="single" w:sz="4" w:space="0" w:color="7E7E7E"/>
              <w:bottom w:val="single" w:sz="4" w:space="0" w:color="BEBEBE"/>
              <w:right w:val="single" w:sz="4" w:space="0" w:color="7E7E7E"/>
            </w:tcBorders>
          </w:tcPr>
          <w:p w14:paraId="611DE1AB" w14:textId="77777777" w:rsidR="00C50FFB" w:rsidRDefault="007725B4">
            <w:pPr>
              <w:widowControl w:val="0"/>
              <w:spacing w:before="91" w:after="0" w:line="240" w:lineRule="auto"/>
              <w:jc w:val="center"/>
              <w:rPr>
                <w:sz w:val="24"/>
                <w:szCs w:val="24"/>
                <w:highlight w:val="white"/>
              </w:rPr>
            </w:pPr>
            <w:r>
              <w:rPr>
                <w:sz w:val="24"/>
                <w:szCs w:val="24"/>
                <w:highlight w:val="white"/>
              </w:rPr>
              <w:t>$3,605.00</w:t>
            </w:r>
          </w:p>
        </w:tc>
        <w:tc>
          <w:tcPr>
            <w:tcW w:w="2610" w:type="dxa"/>
            <w:tcBorders>
              <w:top w:val="single" w:sz="6" w:space="0" w:color="7E7E7E"/>
              <w:left w:val="single" w:sz="4" w:space="0" w:color="7E7E7E"/>
              <w:bottom w:val="single" w:sz="4" w:space="0" w:color="BEBEBE"/>
              <w:right w:val="single" w:sz="4" w:space="0" w:color="BEBEBE"/>
            </w:tcBorders>
          </w:tcPr>
          <w:p w14:paraId="52673576" w14:textId="77777777" w:rsidR="00C50FFB" w:rsidRDefault="007725B4">
            <w:pPr>
              <w:widowControl w:val="0"/>
              <w:spacing w:before="91" w:after="0" w:line="240" w:lineRule="auto"/>
              <w:jc w:val="center"/>
              <w:rPr>
                <w:sz w:val="24"/>
                <w:szCs w:val="24"/>
                <w:highlight w:val="white"/>
              </w:rPr>
            </w:pPr>
            <w:r>
              <w:rPr>
                <w:sz w:val="24"/>
                <w:szCs w:val="24"/>
                <w:highlight w:val="white"/>
              </w:rPr>
              <w:t>$515.00</w:t>
            </w:r>
          </w:p>
        </w:tc>
      </w:tr>
      <w:tr w:rsidR="00C50FFB" w14:paraId="0CBE432F" w14:textId="77777777">
        <w:trPr>
          <w:trHeight w:val="440"/>
        </w:trPr>
        <w:tc>
          <w:tcPr>
            <w:tcW w:w="2521" w:type="dxa"/>
            <w:tcBorders>
              <w:top w:val="single" w:sz="4" w:space="0" w:color="BEBEBE"/>
              <w:left w:val="single" w:sz="4" w:space="0" w:color="E2E3E3"/>
              <w:bottom w:val="single" w:sz="4" w:space="0" w:color="BEBEBE"/>
              <w:right w:val="single" w:sz="4" w:space="0" w:color="7E7E7E"/>
            </w:tcBorders>
            <w:shd w:val="clear" w:color="auto" w:fill="E2E3E3"/>
          </w:tcPr>
          <w:p w14:paraId="6E7C0C35" w14:textId="77777777" w:rsidR="00C50FFB" w:rsidRDefault="007725B4">
            <w:pPr>
              <w:widowControl w:val="0"/>
              <w:spacing w:before="87" w:after="0" w:line="240" w:lineRule="auto"/>
              <w:jc w:val="center"/>
              <w:rPr>
                <w:b/>
                <w:bCs/>
                <w:sz w:val="24"/>
                <w:szCs w:val="24"/>
              </w:rPr>
            </w:pPr>
            <w:r>
              <w:rPr>
                <w:b/>
                <w:bCs/>
                <w:sz w:val="24"/>
                <w:szCs w:val="24"/>
              </w:rPr>
              <w:t>Junior</w:t>
            </w:r>
          </w:p>
        </w:tc>
        <w:tc>
          <w:tcPr>
            <w:tcW w:w="3866" w:type="dxa"/>
            <w:tcBorders>
              <w:top w:val="single" w:sz="4" w:space="0" w:color="BEBEBE"/>
              <w:left w:val="single" w:sz="4" w:space="0" w:color="7E7E7E"/>
              <w:bottom w:val="single" w:sz="4" w:space="0" w:color="BEBEBE"/>
              <w:right w:val="single" w:sz="4" w:space="0" w:color="7E7E7E"/>
            </w:tcBorders>
            <w:shd w:val="clear" w:color="auto" w:fill="EEEEEE"/>
          </w:tcPr>
          <w:p w14:paraId="27ED3A5A" w14:textId="77777777" w:rsidR="00C50FFB" w:rsidRDefault="007725B4">
            <w:pPr>
              <w:widowControl w:val="0"/>
              <w:spacing w:before="95" w:after="0" w:line="240" w:lineRule="auto"/>
              <w:jc w:val="center"/>
              <w:rPr>
                <w:sz w:val="24"/>
                <w:szCs w:val="24"/>
                <w:shd w:val="clear" w:color="auto" w:fill="F3F3F3"/>
              </w:rPr>
            </w:pPr>
            <w:r>
              <w:rPr>
                <w:sz w:val="24"/>
                <w:szCs w:val="24"/>
                <w:shd w:val="clear" w:color="auto" w:fill="F3F3F3"/>
              </w:rPr>
              <w:t>$3,220.00</w:t>
            </w:r>
          </w:p>
        </w:tc>
        <w:tc>
          <w:tcPr>
            <w:tcW w:w="2610" w:type="dxa"/>
            <w:tcBorders>
              <w:top w:val="single" w:sz="4" w:space="0" w:color="BEBEBE"/>
              <w:left w:val="single" w:sz="4" w:space="0" w:color="7E7E7E"/>
              <w:bottom w:val="single" w:sz="4" w:space="0" w:color="BEBEBE"/>
              <w:right w:val="single" w:sz="4" w:space="0" w:color="BEBEBE"/>
            </w:tcBorders>
            <w:shd w:val="clear" w:color="auto" w:fill="EEEEEE"/>
          </w:tcPr>
          <w:p w14:paraId="52E45427" w14:textId="77777777" w:rsidR="00C50FFB" w:rsidRDefault="007725B4">
            <w:pPr>
              <w:widowControl w:val="0"/>
              <w:spacing w:before="95" w:after="0" w:line="240" w:lineRule="auto"/>
              <w:jc w:val="center"/>
              <w:rPr>
                <w:sz w:val="24"/>
                <w:szCs w:val="24"/>
                <w:shd w:val="clear" w:color="auto" w:fill="F3F3F3"/>
              </w:rPr>
            </w:pPr>
            <w:r>
              <w:rPr>
                <w:sz w:val="24"/>
                <w:szCs w:val="24"/>
                <w:shd w:val="clear" w:color="auto" w:fill="F3F3F3"/>
              </w:rPr>
              <w:t>$460.00</w:t>
            </w:r>
          </w:p>
          <w:p w14:paraId="1C7D449F" w14:textId="77777777" w:rsidR="00C50FFB" w:rsidRDefault="00C50FFB">
            <w:pPr>
              <w:widowControl w:val="0"/>
              <w:spacing w:before="95" w:after="0" w:line="240" w:lineRule="auto"/>
              <w:jc w:val="center"/>
              <w:rPr>
                <w:sz w:val="24"/>
                <w:szCs w:val="24"/>
                <w:shd w:val="clear" w:color="auto" w:fill="F3F3F3"/>
              </w:rPr>
            </w:pPr>
          </w:p>
        </w:tc>
      </w:tr>
      <w:tr w:rsidR="00C50FFB" w14:paraId="0E34437C" w14:textId="77777777">
        <w:trPr>
          <w:trHeight w:val="440"/>
        </w:trPr>
        <w:tc>
          <w:tcPr>
            <w:tcW w:w="2521" w:type="dxa"/>
            <w:tcBorders>
              <w:top w:val="single" w:sz="4" w:space="0" w:color="BEBEBE"/>
              <w:left w:val="single" w:sz="4" w:space="0" w:color="E2E3E3"/>
              <w:bottom w:val="single" w:sz="4" w:space="0" w:color="BEBEBE"/>
              <w:right w:val="single" w:sz="4" w:space="0" w:color="7E7E7E"/>
            </w:tcBorders>
            <w:shd w:val="clear" w:color="auto" w:fill="E2E3E3"/>
          </w:tcPr>
          <w:p w14:paraId="7A24171F" w14:textId="77777777" w:rsidR="00C50FFB" w:rsidRDefault="007725B4">
            <w:pPr>
              <w:widowControl w:val="0"/>
              <w:spacing w:before="87" w:after="0" w:line="240" w:lineRule="auto"/>
              <w:jc w:val="center"/>
              <w:rPr>
                <w:sz w:val="24"/>
                <w:szCs w:val="24"/>
              </w:rPr>
            </w:pPr>
            <w:r>
              <w:rPr>
                <w:b/>
                <w:bCs/>
                <w:sz w:val="24"/>
                <w:szCs w:val="24"/>
              </w:rPr>
              <w:t>Blue</w:t>
            </w:r>
          </w:p>
        </w:tc>
        <w:tc>
          <w:tcPr>
            <w:tcW w:w="3866" w:type="dxa"/>
            <w:tcBorders>
              <w:top w:val="single" w:sz="4" w:space="0" w:color="BEBEBE"/>
              <w:left w:val="single" w:sz="4" w:space="0" w:color="7E7E7E"/>
              <w:bottom w:val="single" w:sz="4" w:space="0" w:color="BEBEBE"/>
              <w:right w:val="single" w:sz="4" w:space="0" w:color="7E7E7E"/>
            </w:tcBorders>
            <w:shd w:val="clear" w:color="auto" w:fill="EEEEEE"/>
          </w:tcPr>
          <w:p w14:paraId="5597F12D" w14:textId="77777777" w:rsidR="00C50FFB" w:rsidRDefault="007725B4">
            <w:pPr>
              <w:widowControl w:val="0"/>
              <w:spacing w:before="95" w:after="0" w:line="240" w:lineRule="auto"/>
              <w:jc w:val="center"/>
              <w:rPr>
                <w:sz w:val="24"/>
                <w:szCs w:val="24"/>
                <w:shd w:val="clear" w:color="auto" w:fill="F3F3F3"/>
              </w:rPr>
            </w:pPr>
            <w:r>
              <w:rPr>
                <w:sz w:val="24"/>
                <w:szCs w:val="24"/>
                <w:shd w:val="clear" w:color="auto" w:fill="F3F3F3"/>
              </w:rPr>
              <w:t>$2,870.00</w:t>
            </w:r>
          </w:p>
        </w:tc>
        <w:tc>
          <w:tcPr>
            <w:tcW w:w="2610" w:type="dxa"/>
            <w:tcBorders>
              <w:top w:val="single" w:sz="4" w:space="0" w:color="BEBEBE"/>
              <w:left w:val="single" w:sz="4" w:space="0" w:color="7E7E7E"/>
              <w:bottom w:val="single" w:sz="4" w:space="0" w:color="BEBEBE"/>
              <w:right w:val="single" w:sz="4" w:space="0" w:color="BEBEBE"/>
            </w:tcBorders>
            <w:shd w:val="clear" w:color="auto" w:fill="EEEEEE"/>
          </w:tcPr>
          <w:p w14:paraId="410C415C" w14:textId="77777777" w:rsidR="00C50FFB" w:rsidRDefault="007725B4">
            <w:pPr>
              <w:widowControl w:val="0"/>
              <w:spacing w:before="95" w:after="0" w:line="240" w:lineRule="auto"/>
              <w:jc w:val="center"/>
              <w:rPr>
                <w:sz w:val="24"/>
                <w:szCs w:val="24"/>
                <w:shd w:val="clear" w:color="auto" w:fill="F3F3F3"/>
              </w:rPr>
            </w:pPr>
            <w:r>
              <w:rPr>
                <w:sz w:val="24"/>
                <w:szCs w:val="24"/>
                <w:shd w:val="clear" w:color="auto" w:fill="F3F3F3"/>
              </w:rPr>
              <w:t>$410.00</w:t>
            </w:r>
          </w:p>
        </w:tc>
      </w:tr>
      <w:tr w:rsidR="00F52338" w14:paraId="21DC6C07" w14:textId="77777777">
        <w:trPr>
          <w:trHeight w:val="440"/>
        </w:trPr>
        <w:tc>
          <w:tcPr>
            <w:tcW w:w="2521" w:type="dxa"/>
            <w:tcBorders>
              <w:top w:val="single" w:sz="4" w:space="0" w:color="BEBEBE"/>
              <w:left w:val="single" w:sz="4" w:space="0" w:color="E2E3E3"/>
              <w:bottom w:val="single" w:sz="4" w:space="0" w:color="BEBEBE"/>
              <w:right w:val="single" w:sz="4" w:space="0" w:color="7E7E7E"/>
            </w:tcBorders>
            <w:shd w:val="clear" w:color="auto" w:fill="E2E3E3"/>
          </w:tcPr>
          <w:p w14:paraId="23CF4B88" w14:textId="15BAAC43" w:rsidR="00F52338" w:rsidRDefault="00F52338">
            <w:pPr>
              <w:widowControl w:val="0"/>
              <w:spacing w:before="87" w:after="0" w:line="240" w:lineRule="auto"/>
              <w:jc w:val="center"/>
              <w:rPr>
                <w:b/>
                <w:bCs/>
                <w:sz w:val="24"/>
                <w:szCs w:val="24"/>
              </w:rPr>
            </w:pPr>
            <w:r>
              <w:rPr>
                <w:b/>
                <w:bCs/>
                <w:sz w:val="24"/>
                <w:szCs w:val="24"/>
              </w:rPr>
              <w:t>Blue Performance</w:t>
            </w:r>
          </w:p>
        </w:tc>
        <w:tc>
          <w:tcPr>
            <w:tcW w:w="3866" w:type="dxa"/>
            <w:tcBorders>
              <w:top w:val="single" w:sz="4" w:space="0" w:color="BEBEBE"/>
              <w:left w:val="single" w:sz="4" w:space="0" w:color="7E7E7E"/>
              <w:bottom w:val="single" w:sz="4" w:space="0" w:color="BEBEBE"/>
              <w:right w:val="single" w:sz="4" w:space="0" w:color="7E7E7E"/>
            </w:tcBorders>
            <w:shd w:val="clear" w:color="auto" w:fill="EEEEEE"/>
          </w:tcPr>
          <w:p w14:paraId="62915A40" w14:textId="234A9D57" w:rsidR="00F52338" w:rsidRDefault="00032DA2">
            <w:pPr>
              <w:widowControl w:val="0"/>
              <w:spacing w:before="95" w:after="0" w:line="240" w:lineRule="auto"/>
              <w:jc w:val="center"/>
              <w:rPr>
                <w:sz w:val="24"/>
                <w:szCs w:val="24"/>
                <w:shd w:val="clear" w:color="auto" w:fill="F3F3F3"/>
              </w:rPr>
            </w:pPr>
            <w:r>
              <w:rPr>
                <w:sz w:val="24"/>
                <w:szCs w:val="24"/>
                <w:shd w:val="clear" w:color="auto" w:fill="F3F3F3"/>
              </w:rPr>
              <w:t>$3010.00</w:t>
            </w:r>
          </w:p>
        </w:tc>
        <w:tc>
          <w:tcPr>
            <w:tcW w:w="2610" w:type="dxa"/>
            <w:tcBorders>
              <w:top w:val="single" w:sz="4" w:space="0" w:color="BEBEBE"/>
              <w:left w:val="single" w:sz="4" w:space="0" w:color="7E7E7E"/>
              <w:bottom w:val="single" w:sz="4" w:space="0" w:color="BEBEBE"/>
              <w:right w:val="single" w:sz="4" w:space="0" w:color="BEBEBE"/>
            </w:tcBorders>
            <w:shd w:val="clear" w:color="auto" w:fill="EEEEEE"/>
          </w:tcPr>
          <w:p w14:paraId="7D402BC7" w14:textId="35462AA9" w:rsidR="00F52338" w:rsidRDefault="00F52338">
            <w:pPr>
              <w:widowControl w:val="0"/>
              <w:spacing w:before="95" w:after="0" w:line="240" w:lineRule="auto"/>
              <w:jc w:val="center"/>
              <w:rPr>
                <w:sz w:val="24"/>
                <w:szCs w:val="24"/>
                <w:shd w:val="clear" w:color="auto" w:fill="F3F3F3"/>
              </w:rPr>
            </w:pPr>
            <w:r>
              <w:rPr>
                <w:sz w:val="24"/>
                <w:szCs w:val="24"/>
                <w:shd w:val="clear" w:color="auto" w:fill="F3F3F3"/>
              </w:rPr>
              <w:t>$430.00</w:t>
            </w:r>
          </w:p>
        </w:tc>
      </w:tr>
      <w:tr w:rsidR="00C50FFB" w14:paraId="4DBBE743" w14:textId="77777777">
        <w:trPr>
          <w:trHeight w:val="440"/>
        </w:trPr>
        <w:tc>
          <w:tcPr>
            <w:tcW w:w="2521" w:type="dxa"/>
            <w:tcBorders>
              <w:top w:val="single" w:sz="4" w:space="0" w:color="BEBEBE"/>
              <w:left w:val="single" w:sz="4" w:space="0" w:color="E2E3E3"/>
              <w:bottom w:val="single" w:sz="4" w:space="0" w:color="BEBEBE"/>
              <w:right w:val="single" w:sz="4" w:space="0" w:color="7E7E7E"/>
            </w:tcBorders>
            <w:shd w:val="clear" w:color="auto" w:fill="E2E3E3"/>
          </w:tcPr>
          <w:p w14:paraId="060DB674" w14:textId="77777777" w:rsidR="00C50FFB" w:rsidRDefault="007725B4">
            <w:pPr>
              <w:widowControl w:val="0"/>
              <w:spacing w:before="67" w:after="0" w:line="240" w:lineRule="auto"/>
              <w:ind w:right="8"/>
              <w:jc w:val="center"/>
              <w:rPr>
                <w:b/>
                <w:bCs/>
                <w:sz w:val="24"/>
                <w:szCs w:val="24"/>
              </w:rPr>
            </w:pPr>
            <w:r>
              <w:rPr>
                <w:b/>
                <w:bCs/>
                <w:sz w:val="24"/>
                <w:szCs w:val="24"/>
              </w:rPr>
              <w:t>White</w:t>
            </w:r>
          </w:p>
        </w:tc>
        <w:tc>
          <w:tcPr>
            <w:tcW w:w="3866" w:type="dxa"/>
            <w:tcBorders>
              <w:top w:val="single" w:sz="4" w:space="0" w:color="BEBEBE"/>
              <w:left w:val="single" w:sz="4" w:space="0" w:color="7E7E7E"/>
              <w:bottom w:val="single" w:sz="4" w:space="0" w:color="BEBEBE"/>
              <w:right w:val="single" w:sz="4" w:space="0" w:color="7E7E7E"/>
            </w:tcBorders>
            <w:shd w:val="clear" w:color="auto" w:fill="EEEEEE"/>
          </w:tcPr>
          <w:p w14:paraId="571D41C7" w14:textId="77777777" w:rsidR="00C50FFB" w:rsidRDefault="007725B4">
            <w:pPr>
              <w:widowControl w:val="0"/>
              <w:spacing w:before="75" w:after="0" w:line="240" w:lineRule="auto"/>
              <w:jc w:val="center"/>
              <w:rPr>
                <w:sz w:val="24"/>
                <w:szCs w:val="24"/>
                <w:shd w:val="clear" w:color="auto" w:fill="F3F3F3"/>
              </w:rPr>
            </w:pPr>
            <w:r>
              <w:rPr>
                <w:sz w:val="24"/>
                <w:szCs w:val="24"/>
                <w:shd w:val="clear" w:color="auto" w:fill="F3F3F3"/>
              </w:rPr>
              <w:t>$2,555.00</w:t>
            </w:r>
          </w:p>
        </w:tc>
        <w:tc>
          <w:tcPr>
            <w:tcW w:w="2610" w:type="dxa"/>
            <w:tcBorders>
              <w:top w:val="single" w:sz="4" w:space="0" w:color="BEBEBE"/>
              <w:left w:val="single" w:sz="4" w:space="0" w:color="7E7E7E"/>
              <w:bottom w:val="single" w:sz="4" w:space="0" w:color="BEBEBE"/>
              <w:right w:val="single" w:sz="4" w:space="0" w:color="BEBEBE"/>
            </w:tcBorders>
            <w:shd w:val="clear" w:color="auto" w:fill="EEEEEE"/>
          </w:tcPr>
          <w:p w14:paraId="18714DA1" w14:textId="77777777" w:rsidR="00C50FFB" w:rsidRDefault="007725B4">
            <w:pPr>
              <w:widowControl w:val="0"/>
              <w:spacing w:before="75" w:after="0" w:line="240" w:lineRule="auto"/>
              <w:jc w:val="center"/>
              <w:rPr>
                <w:sz w:val="24"/>
                <w:szCs w:val="24"/>
                <w:shd w:val="clear" w:color="auto" w:fill="F3F3F3"/>
              </w:rPr>
            </w:pPr>
            <w:r>
              <w:rPr>
                <w:sz w:val="24"/>
                <w:szCs w:val="24"/>
                <w:shd w:val="clear" w:color="auto" w:fill="F3F3F3"/>
              </w:rPr>
              <w:t>$365.00</w:t>
            </w:r>
          </w:p>
        </w:tc>
      </w:tr>
      <w:tr w:rsidR="00C50FFB" w14:paraId="7F054FF0" w14:textId="77777777">
        <w:trPr>
          <w:trHeight w:val="440"/>
        </w:trPr>
        <w:tc>
          <w:tcPr>
            <w:tcW w:w="2521" w:type="dxa"/>
            <w:tcBorders>
              <w:top w:val="single" w:sz="4" w:space="0" w:color="BEBEBE"/>
              <w:left w:val="single" w:sz="4" w:space="0" w:color="E2E3E3"/>
              <w:bottom w:val="single" w:sz="4" w:space="0" w:color="BEBEBE"/>
              <w:right w:val="single" w:sz="4" w:space="0" w:color="7E7E7E"/>
            </w:tcBorders>
            <w:shd w:val="clear" w:color="auto" w:fill="E2E3E3"/>
          </w:tcPr>
          <w:p w14:paraId="3CA3E402" w14:textId="77777777" w:rsidR="00C50FFB" w:rsidRDefault="007725B4">
            <w:pPr>
              <w:widowControl w:val="0"/>
              <w:spacing w:before="67" w:after="0" w:line="240" w:lineRule="auto"/>
              <w:ind w:right="8"/>
              <w:jc w:val="center"/>
              <w:rPr>
                <w:sz w:val="24"/>
                <w:szCs w:val="24"/>
              </w:rPr>
            </w:pPr>
            <w:r>
              <w:rPr>
                <w:b/>
                <w:bCs/>
                <w:sz w:val="24"/>
                <w:szCs w:val="24"/>
              </w:rPr>
              <w:t>Red</w:t>
            </w:r>
          </w:p>
        </w:tc>
        <w:tc>
          <w:tcPr>
            <w:tcW w:w="3866" w:type="dxa"/>
            <w:tcBorders>
              <w:top w:val="single" w:sz="4" w:space="0" w:color="BEBEBE"/>
              <w:left w:val="single" w:sz="4" w:space="0" w:color="7E7E7E"/>
              <w:bottom w:val="single" w:sz="4" w:space="0" w:color="BEBEBE"/>
              <w:right w:val="single" w:sz="4" w:space="0" w:color="7E7E7E"/>
            </w:tcBorders>
            <w:shd w:val="clear" w:color="auto" w:fill="EEEEEE"/>
          </w:tcPr>
          <w:p w14:paraId="766F056D" w14:textId="77777777" w:rsidR="00C50FFB" w:rsidRDefault="007725B4">
            <w:pPr>
              <w:widowControl w:val="0"/>
              <w:spacing w:before="76" w:after="0" w:line="240" w:lineRule="auto"/>
              <w:jc w:val="center"/>
              <w:rPr>
                <w:sz w:val="24"/>
                <w:szCs w:val="24"/>
                <w:shd w:val="clear" w:color="auto" w:fill="F3F3F3"/>
              </w:rPr>
            </w:pPr>
            <w:r>
              <w:rPr>
                <w:sz w:val="24"/>
                <w:szCs w:val="24"/>
                <w:shd w:val="clear" w:color="auto" w:fill="F3F3F3"/>
              </w:rPr>
              <w:t>Pay monthly</w:t>
            </w:r>
          </w:p>
        </w:tc>
        <w:tc>
          <w:tcPr>
            <w:tcW w:w="2610" w:type="dxa"/>
            <w:tcBorders>
              <w:top w:val="single" w:sz="4" w:space="0" w:color="BEBEBE"/>
              <w:left w:val="single" w:sz="4" w:space="0" w:color="7E7E7E"/>
              <w:bottom w:val="single" w:sz="4" w:space="0" w:color="BEBEBE"/>
              <w:right w:val="single" w:sz="4" w:space="0" w:color="BEBEBE"/>
            </w:tcBorders>
            <w:shd w:val="clear" w:color="auto" w:fill="EEEEEE"/>
          </w:tcPr>
          <w:p w14:paraId="1C302B99" w14:textId="77777777" w:rsidR="00C50FFB" w:rsidRDefault="007725B4">
            <w:pPr>
              <w:widowControl w:val="0"/>
              <w:spacing w:before="75" w:after="0" w:line="240" w:lineRule="auto"/>
              <w:jc w:val="center"/>
              <w:rPr>
                <w:sz w:val="24"/>
                <w:szCs w:val="24"/>
                <w:shd w:val="clear" w:color="auto" w:fill="F3F3F3"/>
              </w:rPr>
            </w:pPr>
            <w:r>
              <w:rPr>
                <w:sz w:val="24"/>
                <w:szCs w:val="24"/>
                <w:shd w:val="clear" w:color="auto" w:fill="F3F3F3"/>
              </w:rPr>
              <w:t>$175.00</w:t>
            </w:r>
          </w:p>
        </w:tc>
      </w:tr>
      <w:tr w:rsidR="00C50FFB" w14:paraId="3B82D1F4" w14:textId="77777777">
        <w:trPr>
          <w:trHeight w:val="437"/>
        </w:trPr>
        <w:tc>
          <w:tcPr>
            <w:tcW w:w="2521" w:type="dxa"/>
            <w:tcBorders>
              <w:top w:val="single" w:sz="4" w:space="0" w:color="BEBEBE"/>
              <w:left w:val="single" w:sz="4" w:space="0" w:color="E2E3E3"/>
              <w:bottom w:val="single" w:sz="4" w:space="0" w:color="BEBEBE"/>
              <w:right w:val="single" w:sz="4" w:space="0" w:color="7E7E7E"/>
            </w:tcBorders>
            <w:shd w:val="clear" w:color="auto" w:fill="E2E3E3"/>
          </w:tcPr>
          <w:p w14:paraId="09D8B5B5" w14:textId="77777777" w:rsidR="00C50FFB" w:rsidRDefault="007725B4">
            <w:pPr>
              <w:widowControl w:val="0"/>
              <w:spacing w:before="72" w:after="0" w:line="240" w:lineRule="auto"/>
              <w:ind w:right="17"/>
              <w:jc w:val="center"/>
              <w:rPr>
                <w:sz w:val="24"/>
                <w:szCs w:val="24"/>
              </w:rPr>
            </w:pPr>
            <w:r>
              <w:rPr>
                <w:b/>
                <w:bCs/>
                <w:sz w:val="24"/>
                <w:szCs w:val="24"/>
              </w:rPr>
              <w:t>Salmon</w:t>
            </w:r>
          </w:p>
        </w:tc>
        <w:tc>
          <w:tcPr>
            <w:tcW w:w="3866" w:type="dxa"/>
            <w:tcBorders>
              <w:top w:val="single" w:sz="4" w:space="0" w:color="BEBEBE"/>
              <w:left w:val="single" w:sz="4" w:space="0" w:color="7E7E7E"/>
              <w:bottom w:val="single" w:sz="4" w:space="0" w:color="BEBEBE"/>
              <w:right w:val="single" w:sz="4" w:space="0" w:color="7E7E7E"/>
            </w:tcBorders>
          </w:tcPr>
          <w:p w14:paraId="59BF9C9F" w14:textId="77777777" w:rsidR="00C50FFB" w:rsidRDefault="007725B4">
            <w:pPr>
              <w:widowControl w:val="0"/>
              <w:spacing w:before="76" w:after="0" w:line="240" w:lineRule="auto"/>
              <w:jc w:val="center"/>
              <w:rPr>
                <w:sz w:val="24"/>
                <w:szCs w:val="24"/>
                <w:highlight w:val="white"/>
              </w:rPr>
            </w:pPr>
            <w:r>
              <w:rPr>
                <w:sz w:val="24"/>
                <w:szCs w:val="24"/>
                <w:highlight w:val="white"/>
              </w:rPr>
              <w:t>Pay monthly</w:t>
            </w:r>
          </w:p>
        </w:tc>
        <w:tc>
          <w:tcPr>
            <w:tcW w:w="2610" w:type="dxa"/>
            <w:tcBorders>
              <w:top w:val="single" w:sz="4" w:space="0" w:color="BEBEBE"/>
              <w:left w:val="single" w:sz="4" w:space="0" w:color="7E7E7E"/>
              <w:bottom w:val="single" w:sz="4" w:space="0" w:color="BEBEBE"/>
              <w:right w:val="single" w:sz="4" w:space="0" w:color="BEBEBE"/>
            </w:tcBorders>
          </w:tcPr>
          <w:p w14:paraId="26E85E9F" w14:textId="77777777" w:rsidR="00C50FFB" w:rsidRDefault="007725B4">
            <w:pPr>
              <w:widowControl w:val="0"/>
              <w:spacing w:before="76" w:after="0" w:line="240" w:lineRule="auto"/>
              <w:jc w:val="center"/>
              <w:rPr>
                <w:sz w:val="24"/>
                <w:szCs w:val="24"/>
                <w:highlight w:val="white"/>
              </w:rPr>
            </w:pPr>
            <w:r>
              <w:rPr>
                <w:sz w:val="24"/>
                <w:szCs w:val="24"/>
                <w:highlight w:val="white"/>
              </w:rPr>
              <w:t>$110/month</w:t>
            </w:r>
          </w:p>
        </w:tc>
      </w:tr>
      <w:tr w:rsidR="00C50FFB" w14:paraId="77B3834E" w14:textId="77777777">
        <w:trPr>
          <w:trHeight w:val="440"/>
        </w:trPr>
        <w:tc>
          <w:tcPr>
            <w:tcW w:w="2521" w:type="dxa"/>
            <w:tcBorders>
              <w:top w:val="single" w:sz="4" w:space="0" w:color="BEBEBE"/>
              <w:left w:val="single" w:sz="4" w:space="0" w:color="BEBEBE"/>
              <w:bottom w:val="single" w:sz="4" w:space="0" w:color="BEBEBE"/>
              <w:right w:val="single" w:sz="4" w:space="0" w:color="7E7E7E"/>
            </w:tcBorders>
            <w:shd w:val="clear" w:color="auto" w:fill="E2E3E3"/>
          </w:tcPr>
          <w:p w14:paraId="24BD4F77" w14:textId="77777777" w:rsidR="00C50FFB" w:rsidRDefault="007725B4">
            <w:pPr>
              <w:widowControl w:val="0"/>
              <w:spacing w:before="75" w:after="0" w:line="240" w:lineRule="auto"/>
              <w:ind w:left="4"/>
              <w:jc w:val="center"/>
              <w:rPr>
                <w:sz w:val="24"/>
                <w:szCs w:val="24"/>
              </w:rPr>
            </w:pPr>
            <w:r>
              <w:rPr>
                <w:b/>
                <w:bCs/>
                <w:sz w:val="24"/>
                <w:szCs w:val="24"/>
              </w:rPr>
              <w:t>Family Maximum</w:t>
            </w:r>
          </w:p>
        </w:tc>
        <w:tc>
          <w:tcPr>
            <w:tcW w:w="6476" w:type="dxa"/>
            <w:gridSpan w:val="2"/>
            <w:tcBorders>
              <w:top w:val="single" w:sz="4" w:space="0" w:color="BEBEBE"/>
              <w:left w:val="single" w:sz="4" w:space="0" w:color="7E7E7E"/>
              <w:bottom w:val="single" w:sz="4" w:space="0" w:color="BEBEBE"/>
              <w:right w:val="single" w:sz="4" w:space="0" w:color="BEBEBE"/>
            </w:tcBorders>
            <w:shd w:val="clear" w:color="auto" w:fill="EEEEEE"/>
          </w:tcPr>
          <w:p w14:paraId="0D9E4932" w14:textId="77777777" w:rsidR="00C50FFB" w:rsidRDefault="007725B4">
            <w:pPr>
              <w:widowControl w:val="0"/>
              <w:spacing w:before="79" w:after="0" w:line="240" w:lineRule="auto"/>
              <w:jc w:val="center"/>
              <w:rPr>
                <w:sz w:val="24"/>
                <w:szCs w:val="24"/>
              </w:rPr>
            </w:pPr>
            <w:r>
              <w:rPr>
                <w:sz w:val="24"/>
                <w:szCs w:val="24"/>
              </w:rPr>
              <w:t>3+ swimmers in 1 family – 20% off</w:t>
            </w:r>
          </w:p>
          <w:p w14:paraId="0C6AC927" w14:textId="77777777" w:rsidR="00C50FFB" w:rsidRDefault="00C50FFB">
            <w:pPr>
              <w:widowControl w:val="0"/>
              <w:spacing w:before="79" w:after="0" w:line="240" w:lineRule="auto"/>
              <w:ind w:left="513"/>
              <w:jc w:val="center"/>
              <w:rPr>
                <w:sz w:val="24"/>
                <w:szCs w:val="24"/>
              </w:rPr>
            </w:pPr>
          </w:p>
        </w:tc>
      </w:tr>
      <w:tr w:rsidR="00C50FFB" w14:paraId="1E9F32BC" w14:textId="77777777">
        <w:trPr>
          <w:trHeight w:val="440"/>
        </w:trPr>
        <w:tc>
          <w:tcPr>
            <w:tcW w:w="2521" w:type="dxa"/>
            <w:tcBorders>
              <w:top w:val="single" w:sz="4" w:space="0" w:color="BEBEBE"/>
              <w:left w:val="single" w:sz="4" w:space="0" w:color="BEBEBE"/>
              <w:bottom w:val="single" w:sz="4" w:space="0" w:color="BEBEBE"/>
              <w:right w:val="single" w:sz="4" w:space="0" w:color="7E7E7E"/>
            </w:tcBorders>
            <w:shd w:val="clear" w:color="auto" w:fill="E2E3E3"/>
          </w:tcPr>
          <w:p w14:paraId="3CC132A2" w14:textId="77777777" w:rsidR="00C50FFB" w:rsidRDefault="007725B4">
            <w:pPr>
              <w:widowControl w:val="0"/>
              <w:spacing w:before="75" w:after="0" w:line="240" w:lineRule="auto"/>
              <w:ind w:left="4"/>
              <w:jc w:val="center"/>
              <w:rPr>
                <w:b/>
                <w:bCs/>
                <w:sz w:val="24"/>
                <w:szCs w:val="24"/>
              </w:rPr>
            </w:pPr>
            <w:r>
              <w:rPr>
                <w:b/>
                <w:bCs/>
                <w:sz w:val="24"/>
                <w:szCs w:val="24"/>
              </w:rPr>
              <w:t>High School Discount</w:t>
            </w:r>
          </w:p>
        </w:tc>
        <w:tc>
          <w:tcPr>
            <w:tcW w:w="6476" w:type="dxa"/>
            <w:gridSpan w:val="2"/>
            <w:tcBorders>
              <w:top w:val="single" w:sz="4" w:space="0" w:color="BEBEBE"/>
              <w:left w:val="single" w:sz="4" w:space="0" w:color="7E7E7E"/>
              <w:bottom w:val="single" w:sz="4" w:space="0" w:color="BEBEBE"/>
              <w:right w:val="single" w:sz="4" w:space="0" w:color="BEBEBE"/>
            </w:tcBorders>
            <w:shd w:val="clear" w:color="auto" w:fill="EEEEEE"/>
          </w:tcPr>
          <w:p w14:paraId="5AC04EE3" w14:textId="77777777" w:rsidR="00C50FFB" w:rsidRDefault="007725B4">
            <w:pPr>
              <w:widowControl w:val="0"/>
              <w:spacing w:before="79" w:after="0" w:line="240" w:lineRule="auto"/>
              <w:jc w:val="center"/>
              <w:rPr>
                <w:sz w:val="24"/>
                <w:szCs w:val="24"/>
              </w:rPr>
            </w:pPr>
            <w:r>
              <w:rPr>
                <w:sz w:val="24"/>
                <w:szCs w:val="24"/>
              </w:rPr>
              <w:t xml:space="preserve">20% if registering on or before October 1st </w:t>
            </w:r>
            <w:r>
              <w:rPr>
                <w:b/>
                <w:bCs/>
                <w:sz w:val="24"/>
                <w:szCs w:val="24"/>
              </w:rPr>
              <w:t>ONLY, after October 1st the discount will not be honored.</w:t>
            </w:r>
          </w:p>
        </w:tc>
      </w:tr>
    </w:tbl>
    <w:p w14:paraId="5C6A08B9" w14:textId="77777777" w:rsidR="00C50FFB" w:rsidRDefault="00C50FFB">
      <w:pPr>
        <w:widowControl w:val="0"/>
        <w:spacing w:before="11" w:after="0" w:line="240" w:lineRule="auto"/>
        <w:rPr>
          <w:sz w:val="24"/>
          <w:szCs w:val="24"/>
        </w:rPr>
      </w:pPr>
    </w:p>
    <w:p w14:paraId="6ADD8469" w14:textId="77777777" w:rsidR="00C50FFB" w:rsidRDefault="007725B4">
      <w:pPr>
        <w:rPr>
          <w:sz w:val="24"/>
          <w:szCs w:val="24"/>
        </w:rPr>
      </w:pPr>
      <w:r>
        <w:rPr>
          <w:sz w:val="24"/>
          <w:szCs w:val="24"/>
        </w:rPr>
        <w:t xml:space="preserve">All Groups (except Red Group) </w:t>
      </w:r>
      <w:r>
        <w:rPr>
          <w:sz w:val="24"/>
          <w:szCs w:val="24"/>
          <w:u w:val="single"/>
        </w:rPr>
        <w:t>require a financial commitment for the full season</w:t>
      </w:r>
      <w:r>
        <w:rPr>
          <w:sz w:val="24"/>
          <w:szCs w:val="24"/>
        </w:rPr>
        <w:t xml:space="preserve">.  Each family is responsible for the full amount of the season’s fees.  </w:t>
      </w:r>
      <w:r>
        <w:rPr>
          <w:b/>
          <w:bCs/>
          <w:sz w:val="24"/>
          <w:szCs w:val="24"/>
        </w:rPr>
        <w:t xml:space="preserve">Injury, selecting other activities or choosing to not complete the entire season does </w:t>
      </w:r>
      <w:r>
        <w:rPr>
          <w:b/>
          <w:bCs/>
          <w:color w:val="FF0000"/>
          <w:sz w:val="24"/>
          <w:szCs w:val="24"/>
        </w:rPr>
        <w:t>NOT</w:t>
      </w:r>
      <w:r>
        <w:rPr>
          <w:b/>
          <w:bCs/>
          <w:sz w:val="24"/>
          <w:szCs w:val="24"/>
        </w:rPr>
        <w:t xml:space="preserve"> exclude a family from full financial or </w:t>
      </w:r>
      <w:r>
        <w:rPr>
          <w:b/>
          <w:bCs/>
          <w:sz w:val="24"/>
          <w:szCs w:val="24"/>
        </w:rPr>
        <w:lastRenderedPageBreak/>
        <w:t>volunteer responsibilities.</w:t>
      </w:r>
      <w:r>
        <w:rPr>
          <w:sz w:val="24"/>
          <w:szCs w:val="24"/>
        </w:rPr>
        <w:t xml:space="preserve">  Red Group ONLY is on a month-to-month payment basis, but also requires volunteer responsibilities (see Parent Participation).</w:t>
      </w:r>
    </w:p>
    <w:p w14:paraId="4F2D9CDD" w14:textId="5881EF57" w:rsidR="00C50FFB" w:rsidRDefault="00A85DF1">
      <w:pPr>
        <w:rPr>
          <w:sz w:val="24"/>
          <w:szCs w:val="24"/>
        </w:rPr>
      </w:pPr>
      <w:r>
        <w:rPr>
          <w:sz w:val="24"/>
          <w:szCs w:val="24"/>
        </w:rPr>
        <w:t>Training f</w:t>
      </w:r>
      <w:r w:rsidR="007725B4">
        <w:rPr>
          <w:sz w:val="24"/>
          <w:szCs w:val="24"/>
        </w:rPr>
        <w:t>ees will be collected in 7 installments</w:t>
      </w:r>
      <w:r w:rsidR="00D37427">
        <w:rPr>
          <w:sz w:val="24"/>
          <w:szCs w:val="24"/>
        </w:rPr>
        <w:t>, October</w:t>
      </w:r>
      <w:r w:rsidR="007725B4">
        <w:rPr>
          <w:sz w:val="24"/>
          <w:szCs w:val="24"/>
        </w:rPr>
        <w:t xml:space="preserve"> through April</w:t>
      </w:r>
      <w:r w:rsidR="007725B4">
        <w:rPr>
          <w:sz w:val="24"/>
          <w:szCs w:val="24"/>
        </w:rPr>
        <w:t xml:space="preserve">.  </w:t>
      </w:r>
      <w:r w:rsidR="007725B4">
        <w:rPr>
          <w:sz w:val="24"/>
          <w:szCs w:val="24"/>
        </w:rPr>
        <w:t>Red Group pays month to month.  Fees will be pro-rated for mid-season registration.</w:t>
      </w:r>
      <w:r w:rsidR="004223D3">
        <w:rPr>
          <w:sz w:val="24"/>
          <w:szCs w:val="24"/>
        </w:rPr>
        <w:t xml:space="preserve">  There is an option to pay in full via </w:t>
      </w:r>
      <w:r w:rsidR="0021378C">
        <w:rPr>
          <w:sz w:val="24"/>
          <w:szCs w:val="24"/>
        </w:rPr>
        <w:t xml:space="preserve">personal check to avoid </w:t>
      </w:r>
      <w:r w:rsidR="00D021D3">
        <w:rPr>
          <w:sz w:val="24"/>
          <w:szCs w:val="24"/>
        </w:rPr>
        <w:t xml:space="preserve">credit card </w:t>
      </w:r>
      <w:r w:rsidR="0021378C">
        <w:rPr>
          <w:sz w:val="24"/>
          <w:szCs w:val="24"/>
        </w:rPr>
        <w:t>processing fees</w:t>
      </w:r>
      <w:r w:rsidR="00D021D3">
        <w:rPr>
          <w:sz w:val="24"/>
          <w:szCs w:val="24"/>
        </w:rPr>
        <w:t xml:space="preserve">. To do this, mail a check of the full amount of your swimmer(s) annual training fees to </w:t>
      </w:r>
      <w:r w:rsidR="001F3006" w:rsidRPr="001F3006">
        <w:rPr>
          <w:sz w:val="24"/>
          <w:szCs w:val="24"/>
        </w:rPr>
        <w:t>PO Box 60230, Renton, WA 98058</w:t>
      </w:r>
      <w:r w:rsidR="001F3006">
        <w:rPr>
          <w:sz w:val="24"/>
          <w:szCs w:val="24"/>
        </w:rPr>
        <w:t>.</w:t>
      </w:r>
      <w:r w:rsidR="00AF6A53">
        <w:rPr>
          <w:sz w:val="24"/>
          <w:szCs w:val="24"/>
        </w:rPr>
        <w:t xml:space="preserve"> This option is only for training fees</w:t>
      </w:r>
      <w:r w:rsidR="00597284">
        <w:rPr>
          <w:sz w:val="24"/>
          <w:szCs w:val="24"/>
        </w:rPr>
        <w:t>. Registration, swim-a-thon deposit and meet participation fees must use the team management system.</w:t>
      </w:r>
      <w:r w:rsidR="00313A14">
        <w:rPr>
          <w:sz w:val="24"/>
          <w:szCs w:val="24"/>
        </w:rPr>
        <w:t xml:space="preserve"> </w:t>
      </w:r>
      <w:r w:rsidR="00606664">
        <w:rPr>
          <w:sz w:val="24"/>
          <w:szCs w:val="24"/>
        </w:rPr>
        <w:t>If Red group training fees are paid in full</w:t>
      </w:r>
      <w:r w:rsidR="00D4573A">
        <w:rPr>
          <w:sz w:val="24"/>
          <w:szCs w:val="24"/>
        </w:rPr>
        <w:t xml:space="preserve"> with a personal check</w:t>
      </w:r>
      <w:r w:rsidR="00606664">
        <w:rPr>
          <w:sz w:val="24"/>
          <w:szCs w:val="24"/>
        </w:rPr>
        <w:t>, they cannot be refunded.</w:t>
      </w:r>
    </w:p>
    <w:p w14:paraId="23E7B9B5" w14:textId="77777777" w:rsidR="00C50FFB" w:rsidRDefault="007725B4">
      <w:pPr>
        <w:rPr>
          <w:sz w:val="24"/>
          <w:szCs w:val="24"/>
        </w:rPr>
      </w:pPr>
      <w:r>
        <w:rPr>
          <w:sz w:val="24"/>
          <w:szCs w:val="24"/>
        </w:rPr>
        <w:t>S</w:t>
      </w:r>
      <w:r>
        <w:rPr>
          <w:sz w:val="24"/>
          <w:szCs w:val="24"/>
        </w:rPr>
        <w:t xml:space="preserve">wimmers participating in </w:t>
      </w:r>
      <w:r>
        <w:rPr>
          <w:b/>
          <w:bCs/>
          <w:sz w:val="24"/>
          <w:szCs w:val="24"/>
        </w:rPr>
        <w:t>High School Swim</w:t>
      </w:r>
      <w:r>
        <w:rPr>
          <w:sz w:val="24"/>
          <w:szCs w:val="24"/>
        </w:rPr>
        <w:t xml:space="preserve"> Teams – there is a 20% discount for the missed segment of the season when they will be away.  Swimmers can participate in both club and HS swim.  Senior and Junior swimmers MUST register with Chinook during registration to receive the discount.  Late registration will be charged at the regular rates and pro-rated for the remaining months.</w:t>
      </w:r>
    </w:p>
    <w:p w14:paraId="0BCC0C0E" w14:textId="77777777" w:rsidR="00C50FFB" w:rsidRDefault="007725B4">
      <w:pPr>
        <w:rPr>
          <w:sz w:val="24"/>
          <w:szCs w:val="24"/>
        </w:rPr>
      </w:pPr>
      <w:r>
        <w:rPr>
          <w:sz w:val="24"/>
          <w:szCs w:val="24"/>
        </w:rPr>
        <w:t>Late fees will be assessed if there is a failure to pay in a timely manner.</w:t>
      </w:r>
    </w:p>
    <w:p w14:paraId="2DF72A83" w14:textId="77777777" w:rsidR="00C50FFB" w:rsidRDefault="007725B4">
      <w:pPr>
        <w:rPr>
          <w:sz w:val="24"/>
          <w:szCs w:val="24"/>
        </w:rPr>
      </w:pPr>
      <w:r>
        <w:rPr>
          <w:b/>
          <w:bCs/>
          <w:sz w:val="24"/>
          <w:szCs w:val="24"/>
        </w:rPr>
        <w:t>Trial Period:</w:t>
      </w:r>
      <w:r>
        <w:rPr>
          <w:sz w:val="24"/>
          <w:szCs w:val="24"/>
        </w:rPr>
        <w:t xml:space="preserve"> New swimmers can participate in a two-week trial period, and can be refunded all fees (except the registration fee).  There will be </w:t>
      </w:r>
      <w:r>
        <w:rPr>
          <w:b/>
          <w:bCs/>
          <w:sz w:val="24"/>
          <w:szCs w:val="24"/>
        </w:rPr>
        <w:t>no financial obligation</w:t>
      </w:r>
      <w:r>
        <w:rPr>
          <w:sz w:val="24"/>
          <w:szCs w:val="24"/>
        </w:rPr>
        <w:t xml:space="preserve"> for this period.</w:t>
      </w:r>
    </w:p>
    <w:p w14:paraId="7E26AA9E" w14:textId="77777777" w:rsidR="00C50FFB" w:rsidRDefault="007725B4">
      <w:pPr>
        <w:rPr>
          <w:sz w:val="24"/>
          <w:szCs w:val="24"/>
        </w:rPr>
      </w:pPr>
      <w:r>
        <w:rPr>
          <w:b/>
          <w:bCs/>
          <w:sz w:val="24"/>
          <w:szCs w:val="24"/>
        </w:rPr>
        <w:t>Team apparel</w:t>
      </w:r>
      <w:r>
        <w:rPr>
          <w:sz w:val="24"/>
          <w:szCs w:val="24"/>
        </w:rPr>
        <w:t>: Can be purchased at an additional cost – the online store is open at the beginning of the season and again mid-season.</w:t>
      </w:r>
    </w:p>
    <w:p w14:paraId="2C6C7718" w14:textId="77777777" w:rsidR="00C50FFB" w:rsidRDefault="007725B4">
      <w:pPr>
        <w:rPr>
          <w:b/>
          <w:bCs/>
          <w:i/>
          <w:iCs/>
          <w:color w:val="FF0000"/>
          <w:sz w:val="24"/>
          <w:szCs w:val="24"/>
        </w:rPr>
      </w:pPr>
      <w:r>
        <w:rPr>
          <w:b/>
          <w:bCs/>
          <w:i/>
          <w:iCs/>
          <w:color w:val="FF0000"/>
          <w:sz w:val="24"/>
          <w:szCs w:val="24"/>
        </w:rPr>
        <w:t>All families are required to fulfill the volunteer/participation obligations for Chinook hosted meets.  An additional non-participation fee will be assessed to families unable to volunteer to help with these meets.  See the Parent Participation form for details.</w:t>
      </w:r>
    </w:p>
    <w:p w14:paraId="5821ABC2" w14:textId="77777777" w:rsidR="00C50FFB" w:rsidRDefault="007725B4">
      <w:pPr>
        <w:rPr>
          <w:sz w:val="24"/>
          <w:szCs w:val="24"/>
        </w:rPr>
      </w:pPr>
      <w:r>
        <w:rPr>
          <w:b/>
          <w:bCs/>
          <w:sz w:val="24"/>
          <w:szCs w:val="24"/>
        </w:rPr>
        <w:t>Swim a Thon:</w:t>
      </w:r>
      <w:r>
        <w:rPr>
          <w:sz w:val="24"/>
          <w:szCs w:val="24"/>
        </w:rPr>
        <w:t xml:space="preserve"> Participation in the annual Swim-a-thon is </w:t>
      </w:r>
      <w:r>
        <w:rPr>
          <w:b/>
          <w:bCs/>
          <w:sz w:val="24"/>
          <w:szCs w:val="24"/>
        </w:rPr>
        <w:t>required</w:t>
      </w:r>
      <w:r>
        <w:rPr>
          <w:sz w:val="24"/>
          <w:szCs w:val="24"/>
        </w:rPr>
        <w:t xml:space="preserve"> by all families.  A Letter Writing program takes place in the winter and is an important part of Chinook’s financial budget each year.  Upon participation in both letter writing, the swim itself, and a family raising a minimum of $200, the $200 SAT fee collected at registration will be refunded as a credit to the account.  </w:t>
      </w:r>
    </w:p>
    <w:p w14:paraId="1EC71BBA" w14:textId="77777777" w:rsidR="00C50FFB" w:rsidRDefault="00C50FFB">
      <w:pPr>
        <w:rPr>
          <w:sz w:val="24"/>
          <w:szCs w:val="24"/>
        </w:rPr>
      </w:pPr>
    </w:p>
    <w:p w14:paraId="577F77C6" w14:textId="77777777" w:rsidR="00C50FFB" w:rsidRDefault="007725B4">
      <w:pPr>
        <w:jc w:val="center"/>
        <w:rPr>
          <w:i/>
          <w:iCs/>
          <w:sz w:val="40"/>
          <w:szCs w:val="40"/>
          <w:u w:val="single"/>
        </w:rPr>
      </w:pPr>
      <w:r>
        <w:rPr>
          <w:i/>
          <w:iCs/>
          <w:sz w:val="40"/>
          <w:szCs w:val="40"/>
          <w:u w:val="single"/>
        </w:rPr>
        <w:t>Parents – Please retain these policies for your records</w:t>
      </w:r>
    </w:p>
    <w:p w14:paraId="5022D287" w14:textId="77777777" w:rsidR="00C50FFB" w:rsidRDefault="00C50FFB">
      <w:pPr>
        <w:rPr>
          <w:sz w:val="24"/>
          <w:szCs w:val="24"/>
        </w:rPr>
      </w:pPr>
    </w:p>
    <w:sectPr w:rsidR="00C50FF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60F6C49-A36B-4735-B315-5354D0B9206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BBCBE19-2D30-4CE1-8F3C-3A2C2B991B93}"/>
    <w:embedBold r:id="rId3" w:fontKey="{9DFC27BF-7B45-4EB6-B3BD-7A2EF33AA56A}"/>
    <w:embedItalic r:id="rId4" w:fontKey="{461996A6-A89F-40E5-8077-F1470B4B4622}"/>
    <w:embedBoldItalic r:id="rId5" w:fontKey="{2BA01564-E970-458D-AEB8-B0F3921657F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AACBB110-F4A4-4EA3-8DFE-0E40405D6F7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A4DFE7C7-E410-4454-B945-B1FEE7CFD87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1A04A2"/>
    <w:multiLevelType w:val="multilevel"/>
    <w:tmpl w:val="0C7C2C84"/>
    <w:lvl w:ilvl="0">
      <w:start w:val="1"/>
      <w:numFmt w:val="bullet"/>
      <w:lvlText w:val="●"/>
      <w:lvlJc w:val="left"/>
      <w:pPr>
        <w:ind w:left="820" w:hanging="360"/>
      </w:pPr>
      <w:rPr>
        <w:rFonts w:ascii="Noto Sans Symbols" w:eastAsia="Noto Sans Symbols" w:hAnsi="Noto Sans Symbols" w:cs="Noto Sans Symbols"/>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num w:numId="1" w16cid:durableId="286011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FFB"/>
    <w:rsid w:val="00032DA2"/>
    <w:rsid w:val="001F3006"/>
    <w:rsid w:val="00210430"/>
    <w:rsid w:val="0021378C"/>
    <w:rsid w:val="00313A14"/>
    <w:rsid w:val="004223D3"/>
    <w:rsid w:val="00550C1D"/>
    <w:rsid w:val="00597284"/>
    <w:rsid w:val="00606664"/>
    <w:rsid w:val="00712C65"/>
    <w:rsid w:val="007725B4"/>
    <w:rsid w:val="00A85DF1"/>
    <w:rsid w:val="00AF6A53"/>
    <w:rsid w:val="00C50FFB"/>
    <w:rsid w:val="00D021D3"/>
    <w:rsid w:val="00D37427"/>
    <w:rsid w:val="00D4573A"/>
    <w:rsid w:val="00E32429"/>
    <w:rsid w:val="00F36805"/>
    <w:rsid w:val="00F4414E"/>
    <w:rsid w:val="00F52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3AF9F"/>
  <w15:docId w15:val="{B7218604-6566-41C7-85FA-7722874A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character" w:styleId="Hyperlink">
    <w:name w:val="Hyperlink"/>
    <w:basedOn w:val="DefaultParagraphFont"/>
    <w:uiPriority w:val="99"/>
    <w:unhideWhenUsed/>
    <w:rsid w:val="00712C65"/>
    <w:rPr>
      <w:color w:val="0000FF" w:themeColor="hyperlink"/>
      <w:u w:val="single"/>
    </w:rPr>
  </w:style>
  <w:style w:type="character" w:styleId="UnresolvedMention">
    <w:name w:val="Unresolved Mention"/>
    <w:basedOn w:val="DefaultParagraphFont"/>
    <w:uiPriority w:val="99"/>
    <w:semiHidden/>
    <w:unhideWhenUsed/>
    <w:rsid w:val="00712C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oY8BgK7KTuflvvLkmTubfDzKdw==">CgMxLjA4AHIhMTRKWGJ5SkhJZ2I3MFBnczQwSlpqTlZNSkhRNFZ5NG5x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bc10e052-b01c-4849-9967-ee7ec74fc9d8}" enabled="0" method="" siteId="{bc10e052-b01c-4849-9967-ee7ec74fc9d8}" removed="1"/>
</clbl:labelList>
</file>

<file path=docProps/app.xml><?xml version="1.0" encoding="utf-8"?>
<Properties xmlns="http://schemas.openxmlformats.org/officeDocument/2006/extended-properties" xmlns:vt="http://schemas.openxmlformats.org/officeDocument/2006/docPropsVTypes">
  <Template>Normal</Template>
  <TotalTime>46</TotalTime>
  <Pages>2</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Parkin</dc:creator>
  <cp:lastModifiedBy>Jason Parkin</cp:lastModifiedBy>
  <cp:revision>19</cp:revision>
  <dcterms:created xsi:type="dcterms:W3CDTF">2026-07-30T21:39:00Z</dcterms:created>
  <dcterms:modified xsi:type="dcterms:W3CDTF">2026-07-30T22:24:00Z</dcterms:modified>
</cp:coreProperties>
</file>