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B1138" w14:textId="77777777" w:rsidR="00537DE2" w:rsidRDefault="00EB34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right="215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0C23728" wp14:editId="75CAE0A1">
            <wp:simplePos x="0" y="0"/>
            <wp:positionH relativeFrom="column">
              <wp:posOffset>2305050</wp:posOffset>
            </wp:positionH>
            <wp:positionV relativeFrom="paragraph">
              <wp:posOffset>0</wp:posOffset>
            </wp:positionV>
            <wp:extent cx="1333500" cy="895350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3078E4" w14:textId="7A970305" w:rsidR="00537DE2" w:rsidRPr="00EB342A" w:rsidRDefault="00EB342A" w:rsidP="00F2703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right="2990"/>
        <w:jc w:val="center"/>
        <w:rPr>
          <w:rFonts w:asciiTheme="minorHAnsi" w:hAnsiTheme="minorHAnsi"/>
          <w:b/>
          <w:color w:val="000000"/>
          <w:sz w:val="32"/>
          <w:szCs w:val="32"/>
          <w:u w:val="single"/>
        </w:rPr>
      </w:pPr>
      <w:r w:rsidRPr="00EB342A">
        <w:rPr>
          <w:rFonts w:asciiTheme="minorHAnsi" w:hAnsiTheme="minorHAnsi"/>
          <w:b/>
          <w:color w:val="000000"/>
          <w:sz w:val="32"/>
          <w:szCs w:val="32"/>
          <w:u w:val="single"/>
        </w:rPr>
        <w:t>Locker Rooms and Changing Areas</w:t>
      </w:r>
    </w:p>
    <w:p w14:paraId="039AC415" w14:textId="5D936503" w:rsidR="00537DE2" w:rsidRPr="00F2703E" w:rsidRDefault="00EB342A" w:rsidP="00F2703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right="28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>Locker rooms and changing areas are private and enclosed spaces in which abuse can occur. To prevent abuse of minor athletes</w:t>
      </w:r>
      <w:bookmarkStart w:id="0" w:name="_GoBack"/>
      <w:bookmarkEnd w:id="0"/>
      <w:r w:rsidRPr="00F2703E">
        <w:rPr>
          <w:rFonts w:asciiTheme="minorHAnsi" w:hAnsiTheme="minorHAnsi"/>
          <w:color w:val="000000"/>
          <w:sz w:val="24"/>
          <w:szCs w:val="24"/>
        </w:rPr>
        <w:t xml:space="preserve"> in these private areas, this section of the MAAPP is intended to keep Applicable Adults from being present in a locker room or chan</w:t>
      </w:r>
      <w:r w:rsidRPr="00F2703E">
        <w:rPr>
          <w:rFonts w:asciiTheme="minorHAnsi" w:hAnsiTheme="minorHAnsi"/>
          <w:color w:val="000000"/>
          <w:sz w:val="24"/>
          <w:szCs w:val="24"/>
        </w:rPr>
        <w:t>ging area at the same time as minor athletes.</w:t>
      </w:r>
    </w:p>
    <w:p w14:paraId="1E55AD99" w14:textId="0E5BDC58" w:rsidR="00537DE2" w:rsidRPr="00F2703E" w:rsidRDefault="00537D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0"/>
          <w:szCs w:val="20"/>
        </w:rPr>
      </w:pPr>
    </w:p>
    <w:p w14:paraId="57F18765" w14:textId="77777777" w:rsidR="009B46EC" w:rsidRPr="00F2703E" w:rsidRDefault="009B46EC" w:rsidP="009B46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b/>
          <w:color w:val="000000"/>
          <w:sz w:val="32"/>
          <w:szCs w:val="32"/>
        </w:rPr>
      </w:pPr>
      <w:r w:rsidRPr="00F2703E">
        <w:rPr>
          <w:rFonts w:asciiTheme="minorHAnsi" w:hAnsiTheme="minorHAnsi"/>
          <w:b/>
          <w:color w:val="000000"/>
          <w:sz w:val="32"/>
          <w:szCs w:val="32"/>
        </w:rPr>
        <w:t>Requirement to Use Locker Room or Changing Area</w:t>
      </w:r>
    </w:p>
    <w:p w14:paraId="4EAD19FC" w14:textId="79D7C684" w:rsidR="009B46EC" w:rsidRDefault="009B46EC" w:rsidP="00F2703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 xml:space="preserve">The designated locker room or changing area </w:t>
      </w:r>
      <w:r w:rsidRPr="00F2703E">
        <w:rPr>
          <w:rFonts w:asciiTheme="minorHAnsi" w:hAnsiTheme="minorHAnsi"/>
          <w:color w:val="000000"/>
          <w:sz w:val="24"/>
          <w:szCs w:val="24"/>
          <w:u w:val="single"/>
        </w:rPr>
        <w:t>must</w:t>
      </w:r>
      <w:r w:rsidRPr="00F2703E">
        <w:rPr>
          <w:rFonts w:asciiTheme="minorHAnsi" w:hAnsiTheme="minorHAnsi"/>
          <w:color w:val="000000"/>
          <w:sz w:val="24"/>
          <w:szCs w:val="24"/>
        </w:rPr>
        <w:t xml:space="preserve"> be used when an athlete or Applicable Adult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 xml:space="preserve">changes, in whole or in part, into or out of a swimsuit when wearing just one suit (e.g., </w:t>
      </w:r>
      <w:r w:rsidRPr="00F2703E">
        <w:rPr>
          <w:rFonts w:asciiTheme="minorHAnsi" w:hAnsiTheme="minorHAnsi"/>
          <w:color w:val="000000"/>
          <w:sz w:val="24"/>
          <w:szCs w:val="24"/>
          <w:u w:val="single"/>
        </w:rPr>
        <w:t>deck</w:t>
      </w:r>
      <w:r w:rsidR="00F2703E" w:rsidRPr="00F2703E">
        <w:rPr>
          <w:rFonts w:asciiTheme="minorHAnsi" w:hAnsiTheme="minorHAnsi"/>
          <w:color w:val="000000"/>
          <w:sz w:val="24"/>
          <w:szCs w:val="24"/>
          <w:u w:val="single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  <w:u w:val="single"/>
        </w:rPr>
        <w:t>changing is prohibited</w:t>
      </w:r>
      <w:r w:rsidRPr="00F2703E">
        <w:rPr>
          <w:rFonts w:asciiTheme="minorHAnsi" w:hAnsiTheme="minorHAnsi"/>
          <w:color w:val="000000"/>
          <w:sz w:val="24"/>
          <w:szCs w:val="24"/>
        </w:rPr>
        <w:t>).</w:t>
      </w:r>
    </w:p>
    <w:p w14:paraId="65E7ADE9" w14:textId="77777777" w:rsidR="00F2703E" w:rsidRPr="00F2703E" w:rsidRDefault="00F2703E" w:rsidP="00F2703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</w:p>
    <w:p w14:paraId="61CABDA0" w14:textId="02DAC184" w:rsidR="009B46EC" w:rsidRPr="00F2703E" w:rsidRDefault="009B46EC" w:rsidP="00F2703E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b/>
          <w:color w:val="000000"/>
          <w:sz w:val="24"/>
          <w:szCs w:val="24"/>
        </w:rPr>
      </w:pPr>
      <w:r w:rsidRPr="00F2703E">
        <w:rPr>
          <w:rFonts w:asciiTheme="minorHAnsi" w:hAnsiTheme="minorHAnsi"/>
          <w:b/>
          <w:color w:val="000000"/>
          <w:sz w:val="24"/>
          <w:szCs w:val="24"/>
        </w:rPr>
        <w:t>Use of Recording Devices</w:t>
      </w:r>
    </w:p>
    <w:p w14:paraId="34D00DF3" w14:textId="29049505" w:rsidR="009B46EC" w:rsidRPr="00F2703E" w:rsidRDefault="009B46EC" w:rsidP="009B46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>Use of any device’s (including a cell phone’s) recording capabilities, including voice recording, still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 xml:space="preserve">cameras and video cameras in locker rooms, changing areas, or similar spaces by a minor </w:t>
      </w:r>
      <w:proofErr w:type="gramStart"/>
      <w:r w:rsidRPr="00F2703E">
        <w:rPr>
          <w:rFonts w:asciiTheme="minorHAnsi" w:hAnsiTheme="minorHAnsi"/>
          <w:color w:val="000000"/>
          <w:sz w:val="24"/>
          <w:szCs w:val="24"/>
        </w:rPr>
        <w:t>athlete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Pr="00F2703E">
        <w:rPr>
          <w:rFonts w:asciiTheme="minorHAnsi" w:hAnsiTheme="minorHAnsi"/>
          <w:color w:val="000000"/>
          <w:sz w:val="24"/>
          <w:szCs w:val="24"/>
        </w:rPr>
        <w:t>or</w:t>
      </w:r>
      <w:proofErr w:type="gramEnd"/>
      <w:r w:rsidRPr="00F2703E">
        <w:rPr>
          <w:rFonts w:asciiTheme="minorHAnsi" w:hAnsiTheme="minorHAnsi"/>
          <w:color w:val="000000"/>
          <w:sz w:val="24"/>
          <w:szCs w:val="24"/>
        </w:rPr>
        <w:t xml:space="preserve"> an Applicable Adult is prohibited.</w:t>
      </w:r>
    </w:p>
    <w:p w14:paraId="2CB3F7DF" w14:textId="37A5E8E1" w:rsidR="009B46EC" w:rsidRPr="00F2703E" w:rsidRDefault="009B46EC" w:rsidP="00F2703E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b/>
          <w:color w:val="000000"/>
          <w:sz w:val="24"/>
          <w:szCs w:val="24"/>
        </w:rPr>
      </w:pPr>
      <w:r w:rsidRPr="00F2703E">
        <w:rPr>
          <w:rFonts w:asciiTheme="minorHAnsi" w:hAnsiTheme="minorHAnsi"/>
          <w:b/>
          <w:color w:val="000000"/>
          <w:sz w:val="24"/>
          <w:szCs w:val="24"/>
        </w:rPr>
        <w:t>Undress</w:t>
      </w:r>
    </w:p>
    <w:p w14:paraId="3CE2225C" w14:textId="0E0D0FDD" w:rsidR="009B46EC" w:rsidRDefault="009B46EC" w:rsidP="009B46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>An unrelated Applicable Adult must not expose his or her breasts, buttocks, groin or genitals to a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>minor athlete under any circumstance. An unrelated Applicable Adult must not request an unrelated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>minor athlete to expose the minor athlete’s breasts, buttocks, groin or genitals to the unrelated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>Applicable Adult under any circumstance.</w:t>
      </w:r>
    </w:p>
    <w:p w14:paraId="262646C9" w14:textId="77777777" w:rsidR="00F2703E" w:rsidRPr="00F2703E" w:rsidRDefault="00F2703E" w:rsidP="009B46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</w:p>
    <w:p w14:paraId="4A4D0667" w14:textId="7D841136" w:rsidR="009B46EC" w:rsidRPr="00F2703E" w:rsidRDefault="009B46EC" w:rsidP="00F2703E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b/>
          <w:color w:val="000000"/>
          <w:sz w:val="24"/>
          <w:szCs w:val="24"/>
        </w:rPr>
      </w:pPr>
      <w:r w:rsidRPr="00F2703E">
        <w:rPr>
          <w:rFonts w:asciiTheme="minorHAnsi" w:hAnsiTheme="minorHAnsi"/>
          <w:b/>
          <w:color w:val="000000"/>
          <w:sz w:val="24"/>
          <w:szCs w:val="24"/>
        </w:rPr>
        <w:t>One-on-One Interactions</w:t>
      </w:r>
    </w:p>
    <w:p w14:paraId="34D6D72C" w14:textId="77777777" w:rsidR="00F2703E" w:rsidRDefault="009B46EC" w:rsidP="00F2703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>Except for athletes on the same team or athletes attending the same competition, at no time are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>unrelated Applicable Adults permitted to be alone with a minor athlete in a locker room or changing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 xml:space="preserve">area, except under emergency circumstances. </w:t>
      </w:r>
    </w:p>
    <w:p w14:paraId="1AD0C6A3" w14:textId="4E953AEE" w:rsidR="009B46EC" w:rsidRPr="00F2703E" w:rsidRDefault="009B46EC" w:rsidP="00F2703E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b/>
          <w:color w:val="000000"/>
          <w:sz w:val="24"/>
          <w:szCs w:val="24"/>
        </w:rPr>
      </w:pPr>
      <w:r w:rsidRPr="00F2703E">
        <w:rPr>
          <w:rFonts w:asciiTheme="minorHAnsi" w:hAnsiTheme="minorHAnsi"/>
          <w:b/>
          <w:color w:val="000000"/>
          <w:sz w:val="24"/>
          <w:szCs w:val="24"/>
        </w:rPr>
        <w:t>Monitoring</w:t>
      </w:r>
    </w:p>
    <w:p w14:paraId="2E6B36F0" w14:textId="77777777" w:rsidR="00F2703E" w:rsidRDefault="009B46EC" w:rsidP="00F2703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 xml:space="preserve">Locker rooms and changing areas </w:t>
      </w:r>
      <w:r w:rsidR="00F2703E">
        <w:rPr>
          <w:rFonts w:asciiTheme="minorHAnsi" w:hAnsiTheme="minorHAnsi"/>
          <w:color w:val="000000"/>
          <w:sz w:val="24"/>
          <w:szCs w:val="24"/>
        </w:rPr>
        <w:t>will now be monitored during practice times as needed by the following methods:</w:t>
      </w:r>
    </w:p>
    <w:p w14:paraId="0188EA79" w14:textId="77777777" w:rsidR="00F2703E" w:rsidRDefault="009B46EC" w:rsidP="009B46EC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>Conducting a sweep of the locker room or changing area before athletes arrive;</w:t>
      </w:r>
    </w:p>
    <w:p w14:paraId="192F2E48" w14:textId="348C4AB1" w:rsidR="00F2703E" w:rsidRDefault="009B46EC" w:rsidP="009B46EC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>Posting staff directly outside the locker room or chan</w:t>
      </w:r>
      <w:r w:rsidR="00F2703E">
        <w:rPr>
          <w:rFonts w:asciiTheme="minorHAnsi" w:hAnsiTheme="minorHAnsi"/>
          <w:color w:val="000000"/>
          <w:sz w:val="24"/>
          <w:szCs w:val="24"/>
        </w:rPr>
        <w:t>ging area during periods of use after practice while changing</w:t>
      </w:r>
    </w:p>
    <w:p w14:paraId="0B116EE4" w14:textId="77777777" w:rsidR="00F2703E" w:rsidRDefault="009B46EC" w:rsidP="009B46EC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 xml:space="preserve"> Leaving the doors open when adequate privacy is still possible</w:t>
      </w:r>
    </w:p>
    <w:p w14:paraId="182661AB" w14:textId="69326F3D" w:rsidR="009B46EC" w:rsidRPr="00F2703E" w:rsidRDefault="009B46EC" w:rsidP="009B46EC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 xml:space="preserve"> Making occasional sweeps of the locker rooms or changing areas with women checking on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 xml:space="preserve">female locker rooms and men checking on male locker </w:t>
      </w:r>
      <w:r w:rsidRPr="00F2703E">
        <w:rPr>
          <w:rFonts w:asciiTheme="minorHAnsi" w:hAnsiTheme="minorHAnsi"/>
          <w:color w:val="000000"/>
          <w:sz w:val="24"/>
          <w:szCs w:val="24"/>
        </w:rPr>
        <w:lastRenderedPageBreak/>
        <w:t>rooms.</w:t>
      </w:r>
    </w:p>
    <w:p w14:paraId="7482EADD" w14:textId="0B40B2BC" w:rsidR="009B46EC" w:rsidRPr="00F2703E" w:rsidRDefault="009B46EC" w:rsidP="00F2703E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b/>
          <w:color w:val="000000"/>
          <w:sz w:val="24"/>
          <w:szCs w:val="24"/>
        </w:rPr>
      </w:pPr>
      <w:r w:rsidRPr="00F2703E">
        <w:rPr>
          <w:rFonts w:asciiTheme="minorHAnsi" w:hAnsiTheme="minorHAnsi"/>
          <w:b/>
          <w:color w:val="000000"/>
          <w:sz w:val="24"/>
          <w:szCs w:val="24"/>
        </w:rPr>
        <w:t>Legal Guardians in Locker Rooms or Changing Areas</w:t>
      </w:r>
    </w:p>
    <w:p w14:paraId="382D6681" w14:textId="15662907" w:rsidR="00537DE2" w:rsidRPr="00F2703E" w:rsidRDefault="009B46EC" w:rsidP="009B46E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rPr>
          <w:rFonts w:asciiTheme="minorHAnsi" w:hAnsiTheme="minorHAnsi"/>
          <w:color w:val="000000"/>
          <w:sz w:val="24"/>
          <w:szCs w:val="24"/>
        </w:rPr>
      </w:pPr>
      <w:r w:rsidRPr="00F2703E">
        <w:rPr>
          <w:rFonts w:asciiTheme="minorHAnsi" w:hAnsiTheme="minorHAnsi"/>
          <w:color w:val="000000"/>
          <w:sz w:val="24"/>
          <w:szCs w:val="24"/>
        </w:rPr>
        <w:t>Legal guardians are discouraged from entering locker rooms and changing areas. If a legal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2703E">
        <w:rPr>
          <w:rFonts w:asciiTheme="minorHAnsi" w:hAnsiTheme="minorHAnsi"/>
          <w:color w:val="000000"/>
          <w:sz w:val="24"/>
          <w:szCs w:val="24"/>
        </w:rPr>
        <w:t xml:space="preserve">guardian does enter a locker room or changing area, it must only be a same-sex legal </w:t>
      </w:r>
      <w:proofErr w:type="gramStart"/>
      <w:r w:rsidRPr="00F2703E">
        <w:rPr>
          <w:rFonts w:asciiTheme="minorHAnsi" w:hAnsiTheme="minorHAnsi"/>
          <w:color w:val="000000"/>
          <w:sz w:val="24"/>
          <w:szCs w:val="24"/>
        </w:rPr>
        <w:t>guardian</w:t>
      </w:r>
      <w:r w:rsidR="00F2703E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Pr="00F2703E">
        <w:rPr>
          <w:rFonts w:asciiTheme="minorHAnsi" w:hAnsiTheme="minorHAnsi"/>
          <w:color w:val="000000"/>
          <w:sz w:val="24"/>
          <w:szCs w:val="24"/>
        </w:rPr>
        <w:t>and</w:t>
      </w:r>
      <w:proofErr w:type="gramEnd"/>
      <w:r w:rsidRPr="00F2703E">
        <w:rPr>
          <w:rFonts w:asciiTheme="minorHAnsi" w:hAnsiTheme="minorHAnsi"/>
          <w:color w:val="000000"/>
          <w:sz w:val="24"/>
          <w:szCs w:val="24"/>
        </w:rPr>
        <w:t xml:space="preserve"> the legal guardian should notify a coach or administrator in advance.</w:t>
      </w:r>
    </w:p>
    <w:sectPr w:rsidR="00537DE2" w:rsidRPr="00F2703E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04F7"/>
    <w:multiLevelType w:val="hybridMultilevel"/>
    <w:tmpl w:val="9828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7DE2"/>
    <w:rsid w:val="00537DE2"/>
    <w:rsid w:val="009B46EC"/>
    <w:rsid w:val="00EB342A"/>
    <w:rsid w:val="00F2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B1D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1966</Characters>
  <Application>Microsoft Macintosh Word</Application>
  <DocSecurity>0</DocSecurity>
  <Lines>16</Lines>
  <Paragraphs>4</Paragraphs>
  <ScaleCrop>false</ScaleCrop>
  <Company>South Louisiana Swim Team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Kier Braendel</cp:lastModifiedBy>
  <cp:revision>4</cp:revision>
  <dcterms:created xsi:type="dcterms:W3CDTF">2019-06-24T02:50:00Z</dcterms:created>
  <dcterms:modified xsi:type="dcterms:W3CDTF">2019-06-24T02:58:00Z</dcterms:modified>
</cp:coreProperties>
</file>